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pBdr>
          <w:top w:val="single" w:sz="4" w:space="1" w:color="00000A"/>
          <w:left w:val="single" w:sz="4" w:space="4" w:color="00000A"/>
          <w:bottom w:val="single" w:sz="4" w:space="1" w:color="00000A"/>
          <w:right w:val="single" w:sz="4" w:space="4" w:color="00000A"/>
        </w:pBdr>
        <w:spacing w:before="0" w:after="0"/>
        <w:jc w:val="center"/>
        <w:rPr>
          <w:b/>
          <w:b/>
          <w:smallCaps/>
          <w:sz w:val="28"/>
        </w:rPr>
      </w:pPr>
      <w:r>
        <w:rPr>
          <w:b/>
          <w:smallCaps/>
          <w:sz w:val="28"/>
        </w:rPr>
        <w:t>Roydon Parish Council</w:t>
      </w:r>
    </w:p>
    <w:p>
      <w:pPr>
        <w:pStyle w:val="Normal"/>
        <w:spacing w:before="0" w:after="0"/>
        <w:jc w:val="center"/>
        <w:rPr>
          <w:b/>
          <w:b/>
          <w:smallCaps/>
          <w:sz w:val="24"/>
          <w:szCs w:val="24"/>
        </w:rPr>
      </w:pPr>
      <w:r>
        <w:rPr>
          <w:b/>
          <w:smallCaps/>
          <w:sz w:val="24"/>
          <w:szCs w:val="24"/>
        </w:rPr>
      </w:r>
    </w:p>
    <w:p>
      <w:pPr>
        <w:pStyle w:val="Normal"/>
        <w:spacing w:before="0" w:after="0"/>
        <w:jc w:val="center"/>
        <w:rPr>
          <w:b/>
          <w:b/>
          <w:sz w:val="24"/>
          <w:szCs w:val="24"/>
        </w:rPr>
      </w:pPr>
      <w:r>
        <w:rPr>
          <w:b/>
          <w:sz w:val="24"/>
          <w:szCs w:val="24"/>
        </w:rPr>
        <w:t xml:space="preserve">Draft Minutes of the Parish Council Meeting held at St Remegius Church, Roydon, </w:t>
      </w:r>
    </w:p>
    <w:p>
      <w:pPr>
        <w:pStyle w:val="Normal"/>
        <w:spacing w:before="0" w:after="0"/>
        <w:jc w:val="center"/>
        <w:rPr>
          <w:b/>
          <w:b/>
          <w:sz w:val="24"/>
          <w:szCs w:val="24"/>
        </w:rPr>
      </w:pPr>
      <w:r>
        <w:rPr>
          <w:b/>
          <w:sz w:val="24"/>
          <w:szCs w:val="24"/>
        </w:rPr>
        <w:t>on Tuesday 27</w:t>
      </w:r>
      <w:r>
        <w:rPr>
          <w:b/>
          <w:sz w:val="24"/>
          <w:szCs w:val="24"/>
          <w:vertAlign w:val="superscript"/>
        </w:rPr>
        <w:t>th</w:t>
      </w:r>
      <w:r>
        <w:rPr>
          <w:b/>
          <w:sz w:val="24"/>
          <w:szCs w:val="24"/>
        </w:rPr>
        <w:t xml:space="preserve"> November 2018</w:t>
      </w:r>
    </w:p>
    <w:p>
      <w:pPr>
        <w:pStyle w:val="Normal"/>
        <w:spacing w:before="0" w:after="0"/>
        <w:jc w:val="center"/>
        <w:rPr>
          <w:sz w:val="24"/>
          <w:szCs w:val="24"/>
        </w:rPr>
      </w:pPr>
      <w:r>
        <w:rPr>
          <w:sz w:val="24"/>
          <w:szCs w:val="24"/>
        </w:rPr>
      </w:r>
    </w:p>
    <w:p>
      <w:pPr>
        <w:pStyle w:val="Normal"/>
        <w:spacing w:before="0" w:after="0"/>
        <w:rPr>
          <w:sz w:val="24"/>
          <w:szCs w:val="24"/>
        </w:rPr>
      </w:pPr>
      <w:r>
        <w:rPr>
          <w:sz w:val="24"/>
          <w:szCs w:val="24"/>
        </w:rPr>
        <w:t>Present:</w:t>
        <w:tab/>
        <w:t xml:space="preserve">David Bartrum                 </w:t>
        <w:tab/>
        <w:t xml:space="preserve">DB </w:t>
      </w:r>
    </w:p>
    <w:p>
      <w:pPr>
        <w:pStyle w:val="Normal"/>
        <w:spacing w:before="0" w:after="0"/>
        <w:ind w:left="720" w:firstLine="720"/>
        <w:rPr>
          <w:sz w:val="24"/>
          <w:szCs w:val="24"/>
        </w:rPr>
      </w:pPr>
      <w:r>
        <w:rPr>
          <w:sz w:val="24"/>
          <w:szCs w:val="24"/>
        </w:rPr>
        <w:t>Angela Brown</w:t>
        <w:tab/>
        <w:tab/>
        <w:tab/>
        <w:t xml:space="preserve">AB </w:t>
      </w:r>
    </w:p>
    <w:p>
      <w:pPr>
        <w:pStyle w:val="Normal"/>
        <w:spacing w:before="0" w:after="0"/>
        <w:ind w:left="720" w:firstLine="720"/>
        <w:rPr>
          <w:sz w:val="24"/>
          <w:szCs w:val="24"/>
        </w:rPr>
      </w:pPr>
      <w:r>
        <w:rPr>
          <w:sz w:val="24"/>
          <w:szCs w:val="24"/>
        </w:rPr>
        <w:t xml:space="preserve">Paul Curson </w:t>
        <w:tab/>
        <w:tab/>
        <w:tab/>
        <w:t>PC</w:t>
        <w:tab/>
        <w:tab/>
        <w:t>Chairman</w:t>
      </w:r>
    </w:p>
    <w:p>
      <w:pPr>
        <w:pStyle w:val="Normal"/>
        <w:spacing w:before="0" w:after="0"/>
        <w:rPr>
          <w:sz w:val="24"/>
          <w:szCs w:val="24"/>
        </w:rPr>
      </w:pPr>
      <w:r>
        <w:rPr>
          <w:sz w:val="24"/>
          <w:szCs w:val="24"/>
        </w:rPr>
        <w:tab/>
        <w:tab/>
        <w:t>Andrew Daniels</w:t>
        <w:tab/>
        <w:tab/>
        <w:t xml:space="preserve">AD </w:t>
      </w:r>
    </w:p>
    <w:p>
      <w:pPr>
        <w:pStyle w:val="Normal"/>
        <w:spacing w:before="0" w:after="0"/>
        <w:rPr>
          <w:sz w:val="24"/>
          <w:szCs w:val="24"/>
        </w:rPr>
      </w:pPr>
      <w:r>
        <w:rPr>
          <w:sz w:val="24"/>
          <w:szCs w:val="24"/>
        </w:rPr>
        <w:tab/>
        <w:tab/>
        <w:t>Mark Emsden</w:t>
        <w:tab/>
        <w:tab/>
        <w:tab/>
        <w:t>ME</w:t>
      </w:r>
    </w:p>
    <w:p>
      <w:pPr>
        <w:pStyle w:val="Normal"/>
        <w:spacing w:before="0" w:after="0"/>
        <w:rPr>
          <w:sz w:val="24"/>
          <w:szCs w:val="24"/>
        </w:rPr>
      </w:pPr>
      <w:r>
        <w:rPr>
          <w:sz w:val="24"/>
          <w:szCs w:val="24"/>
        </w:rPr>
        <w:tab/>
        <w:tab/>
        <w:t>David Goldson</w:t>
        <w:tab/>
        <w:tab/>
        <w:tab/>
        <w:t>DG</w:t>
        <w:tab/>
        <w:tab/>
        <w:t>District Councillor</w:t>
      </w:r>
    </w:p>
    <w:p>
      <w:pPr>
        <w:pStyle w:val="Normal"/>
        <w:spacing w:before="0" w:after="0"/>
        <w:ind w:left="1440" w:hanging="0"/>
        <w:rPr>
          <w:sz w:val="24"/>
          <w:szCs w:val="24"/>
        </w:rPr>
      </w:pPr>
      <w:r>
        <w:rPr>
          <w:sz w:val="24"/>
          <w:szCs w:val="24"/>
        </w:rPr>
        <w:t xml:space="preserve"> </w:t>
      </w:r>
      <w:r>
        <w:rPr>
          <w:sz w:val="24"/>
          <w:szCs w:val="24"/>
        </w:rPr>
        <w:t>Pam Murton</w:t>
        <w:tab/>
        <w:tab/>
        <w:tab/>
        <w:t xml:space="preserve">PM </w:t>
      </w:r>
    </w:p>
    <w:p>
      <w:pPr>
        <w:pStyle w:val="Normal"/>
        <w:spacing w:before="0" w:after="0"/>
        <w:ind w:left="1440" w:hanging="0"/>
        <w:rPr>
          <w:sz w:val="24"/>
          <w:szCs w:val="24"/>
        </w:rPr>
      </w:pPr>
      <w:r>
        <w:rPr>
          <w:sz w:val="24"/>
          <w:szCs w:val="24"/>
        </w:rPr>
        <w:t xml:space="preserve">Jenny Shorter                  </w:t>
        <w:tab/>
        <w:t>JS</w:t>
      </w:r>
    </w:p>
    <w:p>
      <w:pPr>
        <w:pStyle w:val="Normal"/>
        <w:spacing w:before="0" w:after="0"/>
        <w:rPr>
          <w:sz w:val="24"/>
          <w:szCs w:val="24"/>
        </w:rPr>
      </w:pPr>
      <w:r>
        <w:rPr>
          <w:sz w:val="24"/>
          <w:szCs w:val="24"/>
        </w:rPr>
        <w:tab/>
        <w:tab/>
        <w:t xml:space="preserve">Elizabeth Taylor              </w:t>
        <w:tab/>
        <w:t>ET</w:t>
      </w:r>
    </w:p>
    <w:p>
      <w:pPr>
        <w:pStyle w:val="Normal"/>
        <w:spacing w:before="0" w:after="0"/>
        <w:rPr>
          <w:sz w:val="24"/>
          <w:szCs w:val="24"/>
        </w:rPr>
      </w:pPr>
      <w:r>
        <w:rPr>
          <w:sz w:val="24"/>
          <w:szCs w:val="24"/>
        </w:rPr>
        <w:tab/>
        <w:tab/>
      </w:r>
    </w:p>
    <w:p>
      <w:pPr>
        <w:pStyle w:val="Normal"/>
        <w:spacing w:before="0" w:after="0"/>
        <w:rPr>
          <w:sz w:val="24"/>
          <w:szCs w:val="24"/>
        </w:rPr>
      </w:pPr>
      <w:r>
        <w:rPr>
          <w:sz w:val="24"/>
          <w:szCs w:val="24"/>
        </w:rPr>
        <w:t xml:space="preserve">In Attendance:  </w:t>
        <w:tab/>
        <w:t xml:space="preserve">Jeremy Burton   </w:t>
        <w:tab/>
        <w:t>JB</w:t>
        <w:tab/>
        <w:tab/>
        <w:t>Clerk</w:t>
        <w:tab/>
      </w:r>
    </w:p>
    <w:p>
      <w:pPr>
        <w:pStyle w:val="Normal"/>
        <w:spacing w:before="0" w:after="0"/>
        <w:rPr>
          <w:sz w:val="24"/>
          <w:szCs w:val="24"/>
        </w:rPr>
      </w:pPr>
      <w:r>
        <w:rPr>
          <w:sz w:val="24"/>
          <w:szCs w:val="24"/>
        </w:rPr>
        <w:tab/>
        <w:tab/>
        <w:tab/>
        <w:t xml:space="preserve">Wendy Benson </w:t>
        <w:tab/>
        <w:t>WB</w:t>
        <w:tab/>
        <w:tab/>
        <w:t>New Clerk &amp; RFO for RPC</w:t>
      </w:r>
    </w:p>
    <w:p>
      <w:pPr>
        <w:pStyle w:val="Normal"/>
        <w:spacing w:before="0" w:after="0"/>
        <w:rPr>
          <w:sz w:val="24"/>
          <w:szCs w:val="24"/>
        </w:rPr>
      </w:pPr>
      <w:r>
        <w:rPr>
          <w:sz w:val="24"/>
          <w:szCs w:val="24"/>
        </w:rPr>
        <w:tab/>
        <w:tab/>
        <w:tab/>
        <w:t xml:space="preserve">Keith Kiddie </w:t>
        <w:tab/>
        <w:tab/>
        <w:t>KK</w:t>
        <w:tab/>
        <w:tab/>
        <w:t>County Councillor</w:t>
      </w:r>
    </w:p>
    <w:p>
      <w:pPr>
        <w:pStyle w:val="Normal"/>
        <w:spacing w:before="0" w:after="0"/>
        <w:rPr>
          <w:sz w:val="24"/>
          <w:szCs w:val="24"/>
        </w:rPr>
      </w:pPr>
      <w:r>
        <w:rPr>
          <w:sz w:val="24"/>
          <w:szCs w:val="24"/>
        </w:rPr>
        <w:tab/>
        <w:tab/>
        <w:tab/>
      </w:r>
    </w:p>
    <w:p>
      <w:pPr>
        <w:pStyle w:val="Normal"/>
        <w:spacing w:before="0" w:after="0"/>
        <w:jc w:val="center"/>
        <w:rPr>
          <w:sz w:val="24"/>
          <w:szCs w:val="24"/>
        </w:rPr>
      </w:pPr>
      <w:r>
        <w:rPr>
          <w:sz w:val="24"/>
          <w:szCs w:val="24"/>
        </w:rPr>
        <w:t>9 members of the General Public</w:t>
      </w:r>
    </w:p>
    <w:p>
      <w:pPr>
        <w:pStyle w:val="Normal"/>
        <w:spacing w:before="0" w:after="0"/>
        <w:rPr>
          <w:sz w:val="24"/>
          <w:szCs w:val="24"/>
        </w:rPr>
      </w:pPr>
      <w:r>
        <w:rPr>
          <w:sz w:val="24"/>
          <w:szCs w:val="24"/>
        </w:rPr>
      </w:r>
    </w:p>
    <w:p>
      <w:pPr>
        <w:pStyle w:val="Normal"/>
        <w:spacing w:before="0" w:after="0"/>
        <w:rPr>
          <w:b/>
          <w:b/>
          <w:sz w:val="24"/>
          <w:szCs w:val="24"/>
        </w:rPr>
      </w:pPr>
      <w:r>
        <w:rPr>
          <w:b/>
          <w:sz w:val="24"/>
          <w:szCs w:val="24"/>
        </w:rPr>
      </w:r>
    </w:p>
    <w:p>
      <w:pPr>
        <w:pStyle w:val="Normal"/>
        <w:spacing w:before="0" w:after="0"/>
        <w:rPr>
          <w:sz w:val="24"/>
          <w:szCs w:val="24"/>
        </w:rPr>
      </w:pPr>
      <w:r>
        <w:rPr>
          <w:b/>
          <w:sz w:val="24"/>
          <w:szCs w:val="24"/>
        </w:rPr>
        <w:t>1.</w:t>
        <w:tab/>
        <w:t>Apologies for absence:</w:t>
      </w:r>
      <w:r>
        <w:rPr>
          <w:sz w:val="24"/>
          <w:szCs w:val="24"/>
        </w:rPr>
        <w:tab/>
      </w:r>
    </w:p>
    <w:p>
      <w:pPr>
        <w:pStyle w:val="Normal"/>
        <w:spacing w:before="0" w:after="0"/>
        <w:rPr>
          <w:sz w:val="24"/>
          <w:szCs w:val="24"/>
        </w:rPr>
      </w:pPr>
      <w:r>
        <w:rPr>
          <w:sz w:val="24"/>
          <w:szCs w:val="24"/>
        </w:rPr>
      </w:r>
    </w:p>
    <w:p>
      <w:pPr>
        <w:pStyle w:val="Normal"/>
        <w:spacing w:before="0" w:after="0"/>
        <w:rPr>
          <w:sz w:val="24"/>
          <w:szCs w:val="24"/>
        </w:rPr>
      </w:pPr>
      <w:r>
        <w:rPr>
          <w:sz w:val="24"/>
          <w:szCs w:val="24"/>
        </w:rPr>
        <w:tab/>
        <w:tab/>
        <w:t xml:space="preserve">None </w:t>
      </w:r>
    </w:p>
    <w:p>
      <w:pPr>
        <w:pStyle w:val="Normal"/>
        <w:spacing w:before="0" w:after="0"/>
        <w:rPr>
          <w:sz w:val="24"/>
          <w:szCs w:val="24"/>
        </w:rPr>
      </w:pPr>
      <w:r>
        <w:rPr>
          <w:sz w:val="24"/>
          <w:szCs w:val="24"/>
        </w:rPr>
      </w:r>
    </w:p>
    <w:p>
      <w:pPr>
        <w:pStyle w:val="Normal"/>
        <w:spacing w:before="0" w:after="0"/>
        <w:rPr>
          <w:sz w:val="24"/>
          <w:szCs w:val="24"/>
        </w:rPr>
      </w:pPr>
      <w:r>
        <w:rPr>
          <w:sz w:val="24"/>
          <w:szCs w:val="24"/>
        </w:rPr>
      </w:r>
    </w:p>
    <w:p>
      <w:pPr>
        <w:pStyle w:val="Normal"/>
        <w:spacing w:before="0" w:after="0"/>
        <w:rPr>
          <w:b/>
          <w:b/>
          <w:sz w:val="24"/>
          <w:szCs w:val="24"/>
        </w:rPr>
      </w:pPr>
      <w:r>
        <w:rPr>
          <w:b/>
          <w:sz w:val="24"/>
          <w:szCs w:val="24"/>
        </w:rPr>
        <w:t>2.</w:t>
        <w:tab/>
        <w:t>Declarations of Interest:</w:t>
      </w:r>
    </w:p>
    <w:p>
      <w:pPr>
        <w:pStyle w:val="Normal"/>
        <w:spacing w:before="0" w:after="0"/>
        <w:rPr>
          <w:sz w:val="24"/>
          <w:szCs w:val="24"/>
        </w:rPr>
      </w:pPr>
      <w:r>
        <w:rPr>
          <w:b/>
          <w:sz w:val="24"/>
          <w:szCs w:val="24"/>
        </w:rPr>
        <w:tab/>
        <w:tab/>
      </w:r>
    </w:p>
    <w:p>
      <w:pPr>
        <w:pStyle w:val="Normal"/>
        <w:spacing w:before="0" w:after="0"/>
        <w:rPr>
          <w:sz w:val="24"/>
          <w:szCs w:val="24"/>
        </w:rPr>
      </w:pPr>
      <w:r>
        <w:rPr>
          <w:sz w:val="24"/>
          <w:szCs w:val="24"/>
        </w:rPr>
        <w:tab/>
        <w:tab/>
        <w:t>AB -      Item 9 (Allotments update)</w:t>
      </w:r>
    </w:p>
    <w:p>
      <w:pPr>
        <w:pStyle w:val="Normal"/>
        <w:spacing w:before="0" w:after="0"/>
        <w:rPr>
          <w:sz w:val="24"/>
          <w:szCs w:val="24"/>
        </w:rPr>
      </w:pPr>
      <w:r>
        <w:rPr>
          <w:sz w:val="24"/>
          <w:szCs w:val="24"/>
        </w:rPr>
        <w:tab/>
        <w:tab/>
        <w:t>DG -</w:t>
        <w:tab/>
        <w:t>Item 10 ( Village Hall drains update)</w:t>
      </w:r>
    </w:p>
    <w:p>
      <w:pPr>
        <w:pStyle w:val="Normal"/>
        <w:spacing w:before="0" w:after="0"/>
        <w:rPr>
          <w:sz w:val="24"/>
          <w:szCs w:val="24"/>
        </w:rPr>
      </w:pPr>
      <w:r>
        <w:rPr>
          <w:sz w:val="24"/>
          <w:szCs w:val="24"/>
        </w:rPr>
      </w:r>
    </w:p>
    <w:p>
      <w:pPr>
        <w:pStyle w:val="Normal"/>
        <w:spacing w:before="0" w:after="0"/>
        <w:rPr>
          <w:b/>
          <w:b/>
          <w:sz w:val="24"/>
          <w:szCs w:val="24"/>
        </w:rPr>
      </w:pPr>
      <w:r>
        <w:rPr>
          <w:b/>
          <w:sz w:val="24"/>
          <w:szCs w:val="24"/>
        </w:rPr>
        <w:t xml:space="preserve">PC welcomed Wendy Benson as the new Clerk &amp; RFO to Roydon Parish Council </w:t>
      </w:r>
    </w:p>
    <w:p>
      <w:pPr>
        <w:pStyle w:val="Normal"/>
        <w:spacing w:before="0" w:after="0"/>
        <w:rPr>
          <w:sz w:val="24"/>
          <w:szCs w:val="24"/>
        </w:rPr>
      </w:pPr>
      <w:r>
        <w:rPr>
          <w:sz w:val="24"/>
          <w:szCs w:val="24"/>
        </w:rPr>
        <w:tab/>
        <w:tab/>
      </w:r>
    </w:p>
    <w:p>
      <w:pPr>
        <w:pStyle w:val="Normal"/>
        <w:spacing w:before="0" w:after="0"/>
        <w:rPr>
          <w:sz w:val="24"/>
          <w:szCs w:val="24"/>
        </w:rPr>
      </w:pPr>
      <w:r>
        <w:rPr>
          <w:sz w:val="24"/>
          <w:szCs w:val="24"/>
        </w:rPr>
      </w:r>
    </w:p>
    <w:p>
      <w:pPr>
        <w:pStyle w:val="Normal"/>
        <w:spacing w:before="0" w:after="0"/>
        <w:rPr>
          <w:b/>
          <w:b/>
          <w:sz w:val="24"/>
          <w:szCs w:val="24"/>
        </w:rPr>
      </w:pPr>
      <w:r>
        <w:rPr>
          <w:b/>
          <w:sz w:val="24"/>
          <w:szCs w:val="24"/>
        </w:rPr>
        <w:t>3.</w:t>
        <w:tab/>
        <w:t>Residents’ Forum</w:t>
      </w:r>
    </w:p>
    <w:p>
      <w:pPr>
        <w:pStyle w:val="ListParagraph"/>
        <w:numPr>
          <w:ilvl w:val="0"/>
          <w:numId w:val="1"/>
        </w:numPr>
        <w:spacing w:before="0" w:after="0"/>
        <w:rPr>
          <w:sz w:val="24"/>
          <w:szCs w:val="24"/>
        </w:rPr>
      </w:pPr>
      <w:r>
        <w:rPr>
          <w:sz w:val="24"/>
          <w:szCs w:val="24"/>
        </w:rPr>
        <w:t>The Section 106 monies from Long Meadow estate are still outstanding and projects needed for Roydon. Projects need to be for recreational purposes for older children and adults. By June 2019 this money needs to be spent and approximately £50,000 is still outstanding following the Diss projects which have been put forward. The Outdoor Gym Equipment suggestion appears to be the most popular choice and 2 potential sites were discussed where this Outdoor Gym Equipment could be sited– option 1 is at the Village Hall which is owned by the Parish Council and option 2 is the play area near the re-cycling centre which is owned by South Norfolk Council. Kirsty Laifa from the ‘We are Roydon Group’ to find a suitable package of outdoor gym equipment and bring this to the next Parish Meeting in January 2019.</w:t>
      </w:r>
    </w:p>
    <w:p>
      <w:pPr>
        <w:pStyle w:val="ListParagraph"/>
        <w:spacing w:before="0" w:after="0"/>
        <w:ind w:left="1080" w:hanging="0"/>
        <w:rPr>
          <w:sz w:val="24"/>
          <w:szCs w:val="24"/>
        </w:rPr>
      </w:pPr>
      <w:r>
        <w:rPr>
          <w:sz w:val="24"/>
          <w:szCs w:val="24"/>
        </w:rPr>
      </w:r>
    </w:p>
    <w:p>
      <w:pPr>
        <w:pStyle w:val="ListParagraph"/>
        <w:numPr>
          <w:ilvl w:val="0"/>
          <w:numId w:val="1"/>
        </w:numPr>
        <w:spacing w:before="0" w:after="0"/>
        <w:rPr>
          <w:sz w:val="24"/>
          <w:szCs w:val="24"/>
        </w:rPr>
      </w:pPr>
      <w:r>
        <w:rPr>
          <w:sz w:val="24"/>
          <w:szCs w:val="24"/>
        </w:rPr>
        <w:t>The poll to site the proposed pedestrian crossing across the A1066 has received 72 votes on social media – 39 votes to be sited near the Village Hall / Garage and 33 votes to be sited nearer to the school. KK will now speak to the Highways Engineer to get this project started ASAP for the Village Hall/ Garage option.</w:t>
      </w:r>
    </w:p>
    <w:p>
      <w:pPr>
        <w:pStyle w:val="ListParagraph"/>
        <w:spacing w:before="0" w:after="0"/>
        <w:ind w:left="1080" w:hanging="0"/>
        <w:rPr>
          <w:sz w:val="24"/>
          <w:szCs w:val="24"/>
        </w:rPr>
      </w:pPr>
      <w:r>
        <w:rPr>
          <w:sz w:val="24"/>
          <w:szCs w:val="24"/>
        </w:rPr>
        <w:t xml:space="preserve"> </w:t>
      </w:r>
    </w:p>
    <w:p>
      <w:pPr>
        <w:pStyle w:val="ListParagraph"/>
        <w:numPr>
          <w:ilvl w:val="0"/>
          <w:numId w:val="1"/>
        </w:numPr>
        <w:spacing w:before="0" w:after="0"/>
        <w:rPr>
          <w:sz w:val="24"/>
          <w:szCs w:val="24"/>
        </w:rPr>
      </w:pPr>
      <w:r>
        <w:rPr>
          <w:sz w:val="24"/>
          <w:szCs w:val="24"/>
        </w:rPr>
        <w:t xml:space="preserve">It was noted that the former telephone box in the A1066 lay-by has now been removed </w:t>
      </w:r>
    </w:p>
    <w:p>
      <w:pPr>
        <w:pStyle w:val="ListParagraph"/>
        <w:rPr>
          <w:b/>
          <w:b/>
          <w:sz w:val="24"/>
          <w:szCs w:val="24"/>
        </w:rPr>
      </w:pPr>
      <w:r>
        <w:rPr>
          <w:b/>
          <w:sz w:val="24"/>
          <w:szCs w:val="24"/>
        </w:rPr>
      </w:r>
    </w:p>
    <w:p>
      <w:pPr>
        <w:pStyle w:val="ListParagraph"/>
        <w:numPr>
          <w:ilvl w:val="0"/>
          <w:numId w:val="1"/>
        </w:numPr>
        <w:spacing w:before="0" w:after="0"/>
        <w:rPr>
          <w:sz w:val="24"/>
          <w:szCs w:val="24"/>
        </w:rPr>
      </w:pPr>
      <w:r>
        <w:rPr>
          <w:sz w:val="24"/>
          <w:szCs w:val="24"/>
        </w:rPr>
        <w:t>It was reported that Factory Lane still had drainage issues with the gullies which was causing flooding and very muddy. KK will discuss these issues with the Highways Engineer,</w:t>
      </w:r>
    </w:p>
    <w:p>
      <w:pPr>
        <w:pStyle w:val="ListParagraph"/>
        <w:rPr>
          <w:sz w:val="24"/>
          <w:szCs w:val="24"/>
        </w:rPr>
      </w:pPr>
      <w:r>
        <w:rPr>
          <w:sz w:val="24"/>
          <w:szCs w:val="24"/>
        </w:rPr>
      </w:r>
    </w:p>
    <w:p>
      <w:pPr>
        <w:pStyle w:val="ListParagraph"/>
        <w:numPr>
          <w:ilvl w:val="0"/>
          <w:numId w:val="1"/>
        </w:numPr>
        <w:spacing w:before="0" w:after="0"/>
        <w:rPr>
          <w:sz w:val="24"/>
          <w:szCs w:val="24"/>
        </w:rPr>
      </w:pPr>
      <w:r>
        <w:rPr>
          <w:sz w:val="24"/>
          <w:szCs w:val="24"/>
        </w:rPr>
        <w:t>It was noted that the Cricks Walk to Brewers Green footpath has been cleaned up.</w:t>
      </w:r>
    </w:p>
    <w:p>
      <w:pPr>
        <w:pStyle w:val="ListParagraph"/>
        <w:rPr>
          <w:sz w:val="24"/>
          <w:szCs w:val="24"/>
        </w:rPr>
      </w:pPr>
      <w:r>
        <w:rPr>
          <w:sz w:val="24"/>
          <w:szCs w:val="24"/>
        </w:rPr>
      </w:r>
    </w:p>
    <w:p>
      <w:pPr>
        <w:pStyle w:val="ListParagraph"/>
        <w:numPr>
          <w:ilvl w:val="0"/>
          <w:numId w:val="1"/>
        </w:numPr>
        <w:spacing w:before="0" w:after="0"/>
        <w:rPr>
          <w:sz w:val="24"/>
          <w:szCs w:val="24"/>
        </w:rPr>
      </w:pPr>
      <w:r>
        <w:rPr>
          <w:sz w:val="24"/>
          <w:szCs w:val="24"/>
        </w:rPr>
        <w:t>The old Oak tree near the lay-by into Manor Road remains in a dangerous state. KK is currently dealing with this and the tree will be moved ASAP.</w:t>
      </w:r>
    </w:p>
    <w:p>
      <w:pPr>
        <w:pStyle w:val="ListParagraph"/>
        <w:spacing w:before="0" w:after="0"/>
        <w:ind w:left="1080" w:hanging="0"/>
        <w:rPr>
          <w:sz w:val="24"/>
          <w:szCs w:val="24"/>
        </w:rPr>
      </w:pPr>
      <w:r>
        <w:rPr>
          <w:sz w:val="24"/>
          <w:szCs w:val="24"/>
        </w:rPr>
      </w:r>
    </w:p>
    <w:p>
      <w:pPr>
        <w:pStyle w:val="ListParagraph"/>
        <w:spacing w:before="0" w:after="0"/>
        <w:ind w:left="1080" w:hanging="0"/>
        <w:rPr>
          <w:sz w:val="24"/>
          <w:szCs w:val="24"/>
        </w:rPr>
      </w:pPr>
      <w:r>
        <w:rPr>
          <w:sz w:val="24"/>
          <w:szCs w:val="24"/>
        </w:rPr>
      </w:r>
    </w:p>
    <w:p>
      <w:pPr>
        <w:pStyle w:val="Normal"/>
        <w:spacing w:before="0" w:after="0"/>
        <w:rPr>
          <w:sz w:val="24"/>
          <w:szCs w:val="24"/>
        </w:rPr>
      </w:pPr>
      <w:r>
        <w:rPr>
          <w:b/>
          <w:sz w:val="24"/>
          <w:szCs w:val="24"/>
        </w:rPr>
        <w:t>4.</w:t>
        <w:tab/>
        <w:t>Approval of Minutes of the Parish Meeting held on 30</w:t>
      </w:r>
      <w:r>
        <w:rPr>
          <w:b/>
          <w:sz w:val="24"/>
          <w:szCs w:val="24"/>
          <w:vertAlign w:val="superscript"/>
        </w:rPr>
        <w:t>th</w:t>
      </w:r>
      <w:r>
        <w:rPr>
          <w:b/>
          <w:sz w:val="24"/>
          <w:szCs w:val="24"/>
        </w:rPr>
        <w:t xml:space="preserve"> October 2018:</w:t>
      </w:r>
      <w:r>
        <w:rPr>
          <w:sz w:val="24"/>
          <w:szCs w:val="24"/>
        </w:rPr>
        <w:t xml:space="preserve"> </w:t>
      </w:r>
    </w:p>
    <w:p>
      <w:pPr>
        <w:pStyle w:val="Normal"/>
        <w:spacing w:before="0" w:after="0"/>
        <w:ind w:left="720" w:hanging="0"/>
        <w:rPr/>
      </w:pPr>
      <w:r>
        <w:rPr>
          <w:sz w:val="24"/>
          <w:szCs w:val="24"/>
        </w:rPr>
        <w:t>The minutes were signed by PC as being true and accurate with 2 typo amendments that were amended and signed by PC.</w:t>
      </w:r>
    </w:p>
    <w:p>
      <w:pPr>
        <w:pStyle w:val="Normal"/>
        <w:spacing w:before="0" w:after="0"/>
        <w:rPr>
          <w:sz w:val="24"/>
          <w:szCs w:val="24"/>
        </w:rPr>
      </w:pPr>
      <w:r>
        <w:rPr>
          <w:sz w:val="24"/>
          <w:szCs w:val="24"/>
        </w:rPr>
      </w:r>
    </w:p>
    <w:p>
      <w:pPr>
        <w:pStyle w:val="Normal"/>
        <w:spacing w:before="0" w:after="0"/>
        <w:ind w:left="720" w:hanging="720"/>
        <w:rPr>
          <w:sz w:val="24"/>
          <w:szCs w:val="24"/>
        </w:rPr>
      </w:pPr>
      <w:r>
        <w:rPr>
          <w:sz w:val="24"/>
          <w:szCs w:val="24"/>
        </w:rPr>
      </w:r>
    </w:p>
    <w:p>
      <w:pPr>
        <w:pStyle w:val="Normal"/>
        <w:spacing w:before="0" w:after="0"/>
        <w:ind w:left="720" w:hanging="720"/>
        <w:rPr>
          <w:b/>
          <w:b/>
          <w:sz w:val="24"/>
          <w:szCs w:val="24"/>
        </w:rPr>
      </w:pPr>
      <w:r>
        <w:rPr>
          <w:b/>
          <w:sz w:val="24"/>
          <w:szCs w:val="24"/>
        </w:rPr>
        <w:t>5.</w:t>
      </w:r>
      <w:r>
        <w:rPr>
          <w:sz w:val="24"/>
          <w:szCs w:val="24"/>
        </w:rPr>
        <w:tab/>
      </w:r>
      <w:r>
        <w:rPr>
          <w:b/>
          <w:sz w:val="24"/>
          <w:szCs w:val="24"/>
        </w:rPr>
        <w:t>Matters arising from the minutes and not on the current agenda (for information only):</w:t>
      </w:r>
    </w:p>
    <w:p>
      <w:pPr>
        <w:pStyle w:val="ListParagraph"/>
        <w:numPr>
          <w:ilvl w:val="0"/>
          <w:numId w:val="6"/>
        </w:numPr>
        <w:spacing w:before="0" w:after="0"/>
        <w:rPr/>
      </w:pPr>
      <w:r>
        <w:rPr>
          <w:sz w:val="24"/>
          <w:szCs w:val="24"/>
        </w:rPr>
        <w:t>The recently refurbished street-light on Louies Lane has not had the diffuser and timer fitted yet by Cozens.</w:t>
      </w:r>
    </w:p>
    <w:p>
      <w:pPr>
        <w:pStyle w:val="ListParagraph"/>
        <w:numPr>
          <w:ilvl w:val="0"/>
          <w:numId w:val="6"/>
        </w:numPr>
        <w:spacing w:before="0" w:after="0"/>
        <w:rPr>
          <w:sz w:val="24"/>
          <w:szCs w:val="24"/>
        </w:rPr>
      </w:pPr>
      <w:r>
        <w:rPr>
          <w:sz w:val="24"/>
          <w:szCs w:val="24"/>
        </w:rPr>
        <w:t>The change of signatories for Barclays Bank is still currently being processed.</w:t>
      </w:r>
    </w:p>
    <w:p>
      <w:pPr>
        <w:pStyle w:val="ListParagraph"/>
        <w:numPr>
          <w:ilvl w:val="0"/>
          <w:numId w:val="6"/>
        </w:numPr>
        <w:spacing w:before="0" w:after="0"/>
        <w:rPr>
          <w:sz w:val="24"/>
          <w:szCs w:val="24"/>
        </w:rPr>
      </w:pPr>
      <w:r>
        <w:rPr>
          <w:sz w:val="24"/>
          <w:szCs w:val="24"/>
        </w:rPr>
        <w:t>Doit Bridge, which was damaged in March 2018, has still not been repaired.</w:t>
      </w:r>
    </w:p>
    <w:p>
      <w:pPr>
        <w:pStyle w:val="Normal"/>
        <w:spacing w:before="0" w:after="0"/>
        <w:ind w:left="720" w:hanging="720"/>
        <w:rPr>
          <w:b/>
          <w:b/>
          <w:sz w:val="24"/>
          <w:szCs w:val="24"/>
        </w:rPr>
      </w:pPr>
      <w:r>
        <w:rPr>
          <w:b/>
          <w:sz w:val="24"/>
          <w:szCs w:val="24"/>
        </w:rPr>
      </w:r>
    </w:p>
    <w:p>
      <w:pPr>
        <w:pStyle w:val="Normal"/>
        <w:spacing w:before="0" w:after="0"/>
        <w:rPr>
          <w:sz w:val="24"/>
          <w:szCs w:val="24"/>
        </w:rPr>
      </w:pPr>
      <w:r>
        <w:rPr>
          <w:sz w:val="24"/>
          <w:szCs w:val="24"/>
        </w:rPr>
      </w:r>
    </w:p>
    <w:p>
      <w:pPr>
        <w:pStyle w:val="Normal"/>
        <w:spacing w:before="0" w:after="0"/>
        <w:rPr>
          <w:b/>
          <w:b/>
          <w:sz w:val="24"/>
          <w:szCs w:val="24"/>
        </w:rPr>
      </w:pPr>
      <w:r>
        <w:rPr>
          <w:b/>
          <w:sz w:val="24"/>
          <w:szCs w:val="24"/>
        </w:rPr>
        <w:t>6.</w:t>
        <w:tab/>
        <w:t>Clerks Report:</w:t>
      </w:r>
    </w:p>
    <w:p>
      <w:pPr>
        <w:pStyle w:val="ListParagraph"/>
        <w:numPr>
          <w:ilvl w:val="0"/>
          <w:numId w:val="7"/>
        </w:numPr>
        <w:rPr>
          <w:sz w:val="24"/>
          <w:szCs w:val="24"/>
        </w:rPr>
      </w:pPr>
      <w:r>
        <w:rPr>
          <w:sz w:val="24"/>
          <w:szCs w:val="24"/>
        </w:rPr>
        <w:t>A grant application had been received from 1</w:t>
      </w:r>
      <w:r>
        <w:rPr>
          <w:sz w:val="24"/>
          <w:szCs w:val="24"/>
          <w:vertAlign w:val="superscript"/>
        </w:rPr>
        <w:t>st</w:t>
      </w:r>
      <w:r>
        <w:rPr>
          <w:sz w:val="24"/>
          <w:szCs w:val="24"/>
        </w:rPr>
        <w:t xml:space="preserve"> Roydon Rangers for £309 to purchase a new Unit Flag to be considered at January Parish meeting.</w:t>
      </w:r>
    </w:p>
    <w:p>
      <w:pPr>
        <w:pStyle w:val="ListParagraph"/>
        <w:numPr>
          <w:ilvl w:val="0"/>
          <w:numId w:val="7"/>
        </w:numPr>
        <w:rPr>
          <w:sz w:val="24"/>
          <w:szCs w:val="24"/>
        </w:rPr>
      </w:pPr>
      <w:r>
        <w:rPr>
          <w:sz w:val="24"/>
          <w:szCs w:val="24"/>
        </w:rPr>
        <w:t>JB thanked the Parish Councillors and public for their support while he was Parish Clerk and was given a vote of thanks by PC on behalf of the Councillors.</w:t>
      </w:r>
    </w:p>
    <w:p>
      <w:pPr>
        <w:pStyle w:val="Normal"/>
        <w:rPr>
          <w:sz w:val="24"/>
          <w:szCs w:val="24"/>
        </w:rPr>
      </w:pPr>
      <w:r>
        <w:rPr>
          <w:sz w:val="24"/>
          <w:szCs w:val="24"/>
        </w:rPr>
      </w:r>
    </w:p>
    <w:p>
      <w:pPr>
        <w:pStyle w:val="Normal"/>
        <w:spacing w:before="0" w:after="0"/>
        <w:rPr>
          <w:b/>
          <w:b/>
          <w:sz w:val="24"/>
          <w:szCs w:val="24"/>
        </w:rPr>
      </w:pPr>
      <w:r>
        <w:rPr>
          <w:b/>
          <w:sz w:val="24"/>
          <w:szCs w:val="24"/>
        </w:rPr>
        <w:t xml:space="preserve">7. Financial matters and Banking: </w:t>
      </w:r>
    </w:p>
    <w:p>
      <w:pPr>
        <w:pStyle w:val="ListParagraph"/>
        <w:numPr>
          <w:ilvl w:val="0"/>
          <w:numId w:val="2"/>
        </w:numPr>
        <w:rPr>
          <w:sz w:val="24"/>
          <w:szCs w:val="24"/>
        </w:rPr>
      </w:pPr>
      <w:r>
        <w:rPr>
          <w:sz w:val="24"/>
          <w:szCs w:val="24"/>
        </w:rPr>
        <w:t>Bank Reconciliation as @ 23/11/18</w:t>
      </w:r>
    </w:p>
    <w:tbl>
      <w:tblPr>
        <w:tblStyle w:val="TableGrid"/>
        <w:tblW w:w="9016" w:type="dxa"/>
        <w:jc w:val="left"/>
        <w:tblInd w:w="-5" w:type="dxa"/>
        <w:tblCellMar>
          <w:top w:w="0" w:type="dxa"/>
          <w:left w:w="103" w:type="dxa"/>
          <w:bottom w:w="0" w:type="dxa"/>
          <w:right w:w="108" w:type="dxa"/>
        </w:tblCellMar>
        <w:tblLook w:firstRow="1" w:noVBand="1" w:lastRow="0" w:firstColumn="1" w:lastColumn="0" w:noHBand="0" w:val="04a0"/>
      </w:tblPr>
      <w:tblGrid>
        <w:gridCol w:w="3681"/>
        <w:gridCol w:w="1700"/>
        <w:gridCol w:w="1843"/>
        <w:gridCol w:w="1791"/>
      </w:tblGrid>
      <w:tr>
        <w:trPr/>
        <w:tc>
          <w:tcPr>
            <w:tcW w:w="3681" w:type="dxa"/>
            <w:tcBorders/>
            <w:shd w:fill="auto" w:val="clear"/>
            <w:tcMar>
              <w:left w:w="103" w:type="dxa"/>
            </w:tcMar>
          </w:tcPr>
          <w:p>
            <w:pPr>
              <w:pStyle w:val="Normal"/>
              <w:spacing w:lineRule="auto" w:line="240" w:before="0" w:after="0"/>
              <w:rPr>
                <w:b/>
                <w:b/>
              </w:rPr>
            </w:pPr>
            <w:r>
              <w:rPr>
                <w:b/>
              </w:rPr>
              <w:t>Bank account Balances @ 2/11/18</w:t>
            </w:r>
          </w:p>
        </w:tc>
        <w:tc>
          <w:tcPr>
            <w:tcW w:w="1700" w:type="dxa"/>
            <w:tcBorders/>
            <w:shd w:fill="auto" w:val="clear"/>
            <w:tcMar>
              <w:left w:w="103" w:type="dxa"/>
            </w:tcMar>
          </w:tcPr>
          <w:p>
            <w:pPr>
              <w:pStyle w:val="Normal"/>
              <w:spacing w:lineRule="auto" w:line="240" w:before="0" w:after="0"/>
              <w:rPr/>
            </w:pPr>
            <w:r>
              <w:rPr/>
            </w:r>
          </w:p>
        </w:tc>
        <w:tc>
          <w:tcPr>
            <w:tcW w:w="1843" w:type="dxa"/>
            <w:tcBorders/>
            <w:shd w:fill="auto" w:val="clear"/>
            <w:tcMar>
              <w:left w:w="103" w:type="dxa"/>
            </w:tcMar>
          </w:tcPr>
          <w:p>
            <w:pPr>
              <w:pStyle w:val="Normal"/>
              <w:spacing w:lineRule="auto" w:line="240" w:before="0" w:after="0"/>
              <w:rPr/>
            </w:pPr>
            <w:r>
              <w:rPr/>
            </w:r>
          </w:p>
        </w:tc>
        <w:tc>
          <w:tcPr>
            <w:tcW w:w="1791" w:type="dxa"/>
            <w:tcBorders/>
            <w:shd w:fill="auto" w:val="clear"/>
            <w:tcMar>
              <w:left w:w="103" w:type="dxa"/>
            </w:tcMar>
          </w:tcPr>
          <w:p>
            <w:pPr>
              <w:pStyle w:val="Normal"/>
              <w:spacing w:lineRule="auto" w:line="240" w:before="0" w:after="0"/>
              <w:rPr/>
            </w:pPr>
            <w:r>
              <w:rPr/>
            </w:r>
          </w:p>
        </w:tc>
      </w:tr>
      <w:tr>
        <w:trPr/>
        <w:tc>
          <w:tcPr>
            <w:tcW w:w="3681" w:type="dxa"/>
            <w:tcBorders/>
            <w:shd w:fill="auto" w:val="clear"/>
            <w:tcMar>
              <w:left w:w="103" w:type="dxa"/>
            </w:tcMar>
          </w:tcPr>
          <w:p>
            <w:pPr>
              <w:pStyle w:val="Normal"/>
              <w:spacing w:lineRule="auto" w:line="240" w:before="0" w:after="0"/>
              <w:rPr/>
            </w:pPr>
            <w:r>
              <w:rPr/>
              <w:t xml:space="preserve">Business Current Account </w:t>
            </w:r>
          </w:p>
        </w:tc>
        <w:tc>
          <w:tcPr>
            <w:tcW w:w="1700" w:type="dxa"/>
            <w:tcBorders/>
            <w:shd w:fill="auto" w:val="clear"/>
            <w:tcMar>
              <w:left w:w="103" w:type="dxa"/>
            </w:tcMar>
          </w:tcPr>
          <w:p>
            <w:pPr>
              <w:pStyle w:val="Normal"/>
              <w:spacing w:lineRule="auto" w:line="240" w:before="0" w:after="0"/>
              <w:rPr/>
            </w:pPr>
            <w:r>
              <w:rPr/>
            </w:r>
          </w:p>
        </w:tc>
        <w:tc>
          <w:tcPr>
            <w:tcW w:w="1843" w:type="dxa"/>
            <w:tcBorders/>
            <w:shd w:fill="auto" w:val="clear"/>
            <w:tcMar>
              <w:left w:w="103" w:type="dxa"/>
            </w:tcMar>
          </w:tcPr>
          <w:p>
            <w:pPr>
              <w:pStyle w:val="Normal"/>
              <w:spacing w:lineRule="auto" w:line="240" w:before="0" w:after="0"/>
              <w:jc w:val="right"/>
              <w:rPr>
                <w:b/>
                <w:b/>
                <w:color w:val="4472C4" w:themeColor="accent1"/>
              </w:rPr>
            </w:pPr>
            <w:r>
              <w:rPr>
                <w:b/>
                <w:color w:val="4472C4" w:themeColor="accent1"/>
              </w:rPr>
              <w:t>£28,334.62</w:t>
            </w:r>
          </w:p>
        </w:tc>
        <w:tc>
          <w:tcPr>
            <w:tcW w:w="1791" w:type="dxa"/>
            <w:tcBorders/>
            <w:shd w:fill="auto" w:val="clear"/>
            <w:tcMar>
              <w:left w:w="103" w:type="dxa"/>
            </w:tcMar>
          </w:tcPr>
          <w:p>
            <w:pPr>
              <w:pStyle w:val="Normal"/>
              <w:spacing w:lineRule="auto" w:line="240" w:before="0" w:after="0"/>
              <w:jc w:val="right"/>
              <w:rPr>
                <w:color w:val="0070C0"/>
              </w:rPr>
            </w:pPr>
            <w:r>
              <w:rPr>
                <w:color w:val="0070C0"/>
              </w:rPr>
            </w:r>
          </w:p>
        </w:tc>
      </w:tr>
      <w:tr>
        <w:trPr/>
        <w:tc>
          <w:tcPr>
            <w:tcW w:w="3681" w:type="dxa"/>
            <w:tcBorders/>
            <w:shd w:fill="auto" w:val="clear"/>
            <w:tcMar>
              <w:left w:w="103" w:type="dxa"/>
            </w:tcMar>
          </w:tcPr>
          <w:p>
            <w:pPr>
              <w:pStyle w:val="Normal"/>
              <w:spacing w:lineRule="auto" w:line="240" w:before="0" w:after="0"/>
              <w:rPr/>
            </w:pPr>
            <w:r>
              <w:rPr/>
              <w:t>Business Savings Account</w:t>
            </w:r>
          </w:p>
        </w:tc>
        <w:tc>
          <w:tcPr>
            <w:tcW w:w="1700" w:type="dxa"/>
            <w:tcBorders/>
            <w:shd w:fill="auto" w:val="clear"/>
            <w:tcMar>
              <w:left w:w="103" w:type="dxa"/>
            </w:tcMar>
          </w:tcPr>
          <w:p>
            <w:pPr>
              <w:pStyle w:val="Normal"/>
              <w:spacing w:lineRule="auto" w:line="240" w:before="0" w:after="0"/>
              <w:rPr/>
            </w:pPr>
            <w:r>
              <w:rPr/>
            </w:r>
          </w:p>
        </w:tc>
        <w:tc>
          <w:tcPr>
            <w:tcW w:w="1843" w:type="dxa"/>
            <w:tcBorders/>
            <w:shd w:fill="auto" w:val="clear"/>
            <w:tcMar>
              <w:left w:w="103" w:type="dxa"/>
            </w:tcMar>
          </w:tcPr>
          <w:p>
            <w:pPr>
              <w:pStyle w:val="Normal"/>
              <w:spacing w:lineRule="auto" w:line="240" w:before="0" w:after="0"/>
              <w:jc w:val="right"/>
              <w:rPr>
                <w:b/>
                <w:b/>
                <w:color w:val="4472C4" w:themeColor="accent1"/>
              </w:rPr>
            </w:pPr>
            <w:r>
              <w:rPr>
                <w:b/>
                <w:color w:val="4472C4" w:themeColor="accent1"/>
              </w:rPr>
              <w:t>£7,694.49</w:t>
            </w:r>
          </w:p>
        </w:tc>
        <w:tc>
          <w:tcPr>
            <w:tcW w:w="1791" w:type="dxa"/>
            <w:tcBorders/>
            <w:shd w:fill="auto" w:val="clear"/>
            <w:tcMar>
              <w:left w:w="103" w:type="dxa"/>
            </w:tcMar>
          </w:tcPr>
          <w:p>
            <w:pPr>
              <w:pStyle w:val="Normal"/>
              <w:spacing w:lineRule="auto" w:line="240" w:before="0" w:after="0"/>
              <w:jc w:val="right"/>
              <w:rPr>
                <w:color w:val="0070C0"/>
              </w:rPr>
            </w:pPr>
            <w:r>
              <w:rPr>
                <w:color w:val="0070C0"/>
              </w:rPr>
            </w:r>
          </w:p>
        </w:tc>
      </w:tr>
      <w:tr>
        <w:trPr/>
        <w:tc>
          <w:tcPr>
            <w:tcW w:w="3681" w:type="dxa"/>
            <w:tcBorders/>
            <w:shd w:fill="auto" w:val="clear"/>
            <w:tcMar>
              <w:left w:w="103" w:type="dxa"/>
            </w:tcMar>
          </w:tcPr>
          <w:p>
            <w:pPr>
              <w:pStyle w:val="Normal"/>
              <w:spacing w:lineRule="auto" w:line="240" w:before="0" w:after="0"/>
              <w:rPr/>
            </w:pPr>
            <w:r>
              <w:rPr/>
              <w:t>Total Balances</w:t>
            </w:r>
          </w:p>
        </w:tc>
        <w:tc>
          <w:tcPr>
            <w:tcW w:w="1700" w:type="dxa"/>
            <w:tcBorders/>
            <w:shd w:fill="auto" w:val="clear"/>
            <w:tcMar>
              <w:left w:w="103" w:type="dxa"/>
            </w:tcMar>
          </w:tcPr>
          <w:p>
            <w:pPr>
              <w:pStyle w:val="Normal"/>
              <w:spacing w:lineRule="auto" w:line="240" w:before="0" w:after="0"/>
              <w:rPr/>
            </w:pPr>
            <w:r>
              <w:rPr/>
            </w:r>
          </w:p>
        </w:tc>
        <w:tc>
          <w:tcPr>
            <w:tcW w:w="1843" w:type="dxa"/>
            <w:tcBorders/>
            <w:shd w:fill="auto" w:val="clear"/>
            <w:tcMar>
              <w:left w:w="103" w:type="dxa"/>
            </w:tcMar>
          </w:tcPr>
          <w:p>
            <w:pPr>
              <w:pStyle w:val="Normal"/>
              <w:spacing w:lineRule="auto" w:line="240" w:before="0" w:after="0"/>
              <w:jc w:val="right"/>
              <w:rPr>
                <w:b/>
                <w:b/>
                <w:color w:val="4472C4" w:themeColor="accent1"/>
              </w:rPr>
            </w:pPr>
            <w:r>
              <w:rPr>
                <w:b/>
                <w:color w:val="4472C4" w:themeColor="accent1"/>
              </w:rPr>
            </w:r>
          </w:p>
        </w:tc>
        <w:tc>
          <w:tcPr>
            <w:tcW w:w="1791" w:type="dxa"/>
            <w:tcBorders/>
            <w:shd w:fill="auto" w:val="clear"/>
            <w:tcMar>
              <w:left w:w="103" w:type="dxa"/>
            </w:tcMar>
          </w:tcPr>
          <w:p>
            <w:pPr>
              <w:pStyle w:val="Normal"/>
              <w:spacing w:lineRule="auto" w:line="240" w:before="0" w:after="0"/>
              <w:jc w:val="right"/>
              <w:rPr>
                <w:b/>
                <w:b/>
                <w:color w:val="0070C0"/>
              </w:rPr>
            </w:pPr>
            <w:r>
              <w:rPr>
                <w:b/>
                <w:color w:val="1F3864" w:themeColor="accent1" w:themeShade="80"/>
              </w:rPr>
              <w:t>£36,029.11</w:t>
            </w:r>
          </w:p>
        </w:tc>
      </w:tr>
      <w:tr>
        <w:trPr/>
        <w:tc>
          <w:tcPr>
            <w:tcW w:w="3681" w:type="dxa"/>
            <w:tcBorders/>
            <w:shd w:fill="auto" w:val="clear"/>
            <w:tcMar>
              <w:left w:w="103" w:type="dxa"/>
            </w:tcMar>
          </w:tcPr>
          <w:p>
            <w:pPr>
              <w:pStyle w:val="Normal"/>
              <w:spacing w:lineRule="auto" w:line="240" w:before="0" w:after="0"/>
              <w:rPr/>
            </w:pPr>
            <w:r>
              <w:rPr/>
            </w:r>
          </w:p>
        </w:tc>
        <w:tc>
          <w:tcPr>
            <w:tcW w:w="1700" w:type="dxa"/>
            <w:tcBorders/>
            <w:shd w:fill="auto" w:val="clear"/>
            <w:tcMar>
              <w:left w:w="103" w:type="dxa"/>
            </w:tcMar>
          </w:tcPr>
          <w:p>
            <w:pPr>
              <w:pStyle w:val="Normal"/>
              <w:spacing w:lineRule="auto" w:line="240" w:before="0" w:after="0"/>
              <w:rPr/>
            </w:pPr>
            <w:r>
              <w:rPr/>
            </w:r>
          </w:p>
        </w:tc>
        <w:tc>
          <w:tcPr>
            <w:tcW w:w="1843" w:type="dxa"/>
            <w:tcBorders/>
            <w:shd w:fill="auto" w:val="clear"/>
            <w:tcMar>
              <w:left w:w="103" w:type="dxa"/>
            </w:tcMar>
          </w:tcPr>
          <w:p>
            <w:pPr>
              <w:pStyle w:val="Normal"/>
              <w:spacing w:lineRule="auto" w:line="240" w:before="0" w:after="0"/>
              <w:jc w:val="right"/>
              <w:rPr>
                <w:b/>
                <w:b/>
                <w:color w:val="4472C4" w:themeColor="accent1"/>
              </w:rPr>
            </w:pPr>
            <w:r>
              <w:rPr>
                <w:b/>
                <w:color w:val="4472C4" w:themeColor="accent1"/>
              </w:rPr>
            </w:r>
          </w:p>
        </w:tc>
        <w:tc>
          <w:tcPr>
            <w:tcW w:w="1791" w:type="dxa"/>
            <w:tcBorders/>
            <w:shd w:fill="auto" w:val="clear"/>
            <w:tcMar>
              <w:left w:w="103" w:type="dxa"/>
            </w:tcMar>
          </w:tcPr>
          <w:p>
            <w:pPr>
              <w:pStyle w:val="Normal"/>
              <w:spacing w:lineRule="auto" w:line="240" w:before="0" w:after="0"/>
              <w:jc w:val="right"/>
              <w:rPr/>
            </w:pPr>
            <w:r>
              <w:rPr/>
            </w:r>
          </w:p>
        </w:tc>
      </w:tr>
      <w:tr>
        <w:trPr/>
        <w:tc>
          <w:tcPr>
            <w:tcW w:w="3681" w:type="dxa"/>
            <w:tcBorders/>
            <w:shd w:fill="auto" w:val="clear"/>
            <w:tcMar>
              <w:left w:w="103" w:type="dxa"/>
            </w:tcMar>
          </w:tcPr>
          <w:p>
            <w:pPr>
              <w:pStyle w:val="Normal"/>
              <w:spacing w:lineRule="auto" w:line="240" w:before="0" w:after="0"/>
              <w:rPr/>
            </w:pPr>
            <w:r>
              <w:rPr/>
              <w:t>Annual Return Balance @ 31/3/18</w:t>
            </w:r>
          </w:p>
        </w:tc>
        <w:tc>
          <w:tcPr>
            <w:tcW w:w="1700" w:type="dxa"/>
            <w:tcBorders/>
            <w:shd w:fill="auto" w:val="clear"/>
            <w:tcMar>
              <w:left w:w="103" w:type="dxa"/>
            </w:tcMar>
          </w:tcPr>
          <w:p>
            <w:pPr>
              <w:pStyle w:val="Normal"/>
              <w:spacing w:lineRule="auto" w:line="240" w:before="0" w:after="0"/>
              <w:rPr/>
            </w:pPr>
            <w:r>
              <w:rPr/>
            </w:r>
          </w:p>
        </w:tc>
        <w:tc>
          <w:tcPr>
            <w:tcW w:w="1843" w:type="dxa"/>
            <w:tcBorders/>
            <w:shd w:fill="auto" w:val="clear"/>
            <w:tcMar>
              <w:left w:w="103" w:type="dxa"/>
            </w:tcMar>
          </w:tcPr>
          <w:p>
            <w:pPr>
              <w:pStyle w:val="Normal"/>
              <w:spacing w:lineRule="auto" w:line="240" w:before="0" w:after="0"/>
              <w:jc w:val="right"/>
              <w:rPr>
                <w:b/>
                <w:b/>
                <w:color w:val="4472C4" w:themeColor="accent1"/>
              </w:rPr>
            </w:pPr>
            <w:r>
              <w:rPr>
                <w:b/>
                <w:color w:val="4472C4" w:themeColor="accent1"/>
              </w:rPr>
              <w:t>£32,305.02</w:t>
            </w:r>
          </w:p>
        </w:tc>
        <w:tc>
          <w:tcPr>
            <w:tcW w:w="1791" w:type="dxa"/>
            <w:tcBorders/>
            <w:shd w:fill="auto" w:val="clear"/>
            <w:tcMar>
              <w:left w:w="103" w:type="dxa"/>
            </w:tcMar>
          </w:tcPr>
          <w:p>
            <w:pPr>
              <w:pStyle w:val="Normal"/>
              <w:spacing w:lineRule="auto" w:line="240" w:before="0" w:after="0"/>
              <w:jc w:val="right"/>
              <w:rPr/>
            </w:pPr>
            <w:r>
              <w:rPr/>
            </w:r>
          </w:p>
        </w:tc>
      </w:tr>
      <w:tr>
        <w:trPr/>
        <w:tc>
          <w:tcPr>
            <w:tcW w:w="3681" w:type="dxa"/>
            <w:tcBorders/>
            <w:shd w:fill="auto" w:val="clear"/>
            <w:tcMar>
              <w:left w:w="103" w:type="dxa"/>
            </w:tcMar>
          </w:tcPr>
          <w:p>
            <w:pPr>
              <w:pStyle w:val="Normal"/>
              <w:spacing w:lineRule="auto" w:line="240" w:before="0" w:after="0"/>
              <w:rPr/>
            </w:pPr>
            <w:r>
              <w:rPr/>
            </w:r>
          </w:p>
        </w:tc>
        <w:tc>
          <w:tcPr>
            <w:tcW w:w="1700" w:type="dxa"/>
            <w:tcBorders/>
            <w:shd w:fill="auto" w:val="clear"/>
            <w:tcMar>
              <w:left w:w="103" w:type="dxa"/>
            </w:tcMar>
          </w:tcPr>
          <w:p>
            <w:pPr>
              <w:pStyle w:val="Normal"/>
              <w:spacing w:lineRule="auto" w:line="240" w:before="0" w:after="0"/>
              <w:rPr/>
            </w:pPr>
            <w:r>
              <w:rPr/>
            </w:r>
          </w:p>
        </w:tc>
        <w:tc>
          <w:tcPr>
            <w:tcW w:w="1843" w:type="dxa"/>
            <w:tcBorders/>
            <w:shd w:fill="auto" w:val="clear"/>
            <w:tcMar>
              <w:left w:w="103" w:type="dxa"/>
            </w:tcMar>
          </w:tcPr>
          <w:p>
            <w:pPr>
              <w:pStyle w:val="Normal"/>
              <w:spacing w:lineRule="auto" w:line="240" w:before="0" w:after="0"/>
              <w:jc w:val="right"/>
              <w:rPr>
                <w:b/>
                <w:b/>
                <w:color w:val="4472C4" w:themeColor="accent1"/>
              </w:rPr>
            </w:pPr>
            <w:r>
              <w:rPr>
                <w:b/>
                <w:color w:val="4472C4" w:themeColor="accent1"/>
              </w:rPr>
            </w:r>
          </w:p>
        </w:tc>
        <w:tc>
          <w:tcPr>
            <w:tcW w:w="1791" w:type="dxa"/>
            <w:tcBorders/>
            <w:shd w:fill="auto" w:val="clear"/>
            <w:tcMar>
              <w:left w:w="103" w:type="dxa"/>
            </w:tcMar>
          </w:tcPr>
          <w:p>
            <w:pPr>
              <w:pStyle w:val="Normal"/>
              <w:spacing w:lineRule="auto" w:line="240" w:before="0" w:after="0"/>
              <w:jc w:val="right"/>
              <w:rPr/>
            </w:pPr>
            <w:r>
              <w:rPr/>
            </w:r>
          </w:p>
        </w:tc>
      </w:tr>
      <w:tr>
        <w:trPr/>
        <w:tc>
          <w:tcPr>
            <w:tcW w:w="3681" w:type="dxa"/>
            <w:tcBorders/>
            <w:shd w:fill="auto" w:val="clear"/>
            <w:tcMar>
              <w:left w:w="103" w:type="dxa"/>
            </w:tcMar>
          </w:tcPr>
          <w:p>
            <w:pPr>
              <w:pStyle w:val="Normal"/>
              <w:spacing w:lineRule="auto" w:line="240" w:before="0" w:after="0"/>
              <w:rPr/>
            </w:pPr>
            <w:r>
              <w:rPr/>
              <w:t>Accounts Receipts Ledger YTD</w:t>
            </w:r>
          </w:p>
        </w:tc>
        <w:tc>
          <w:tcPr>
            <w:tcW w:w="1700" w:type="dxa"/>
            <w:tcBorders/>
            <w:shd w:fill="auto" w:val="clear"/>
            <w:tcMar>
              <w:left w:w="103" w:type="dxa"/>
            </w:tcMar>
          </w:tcPr>
          <w:p>
            <w:pPr>
              <w:pStyle w:val="Normal"/>
              <w:spacing w:lineRule="auto" w:line="240" w:before="0" w:after="0"/>
              <w:rPr/>
            </w:pPr>
            <w:r>
              <w:rPr/>
              <w:t>(attached)</w:t>
            </w:r>
          </w:p>
        </w:tc>
        <w:tc>
          <w:tcPr>
            <w:tcW w:w="1843" w:type="dxa"/>
            <w:tcBorders/>
            <w:shd w:fill="auto" w:val="clear"/>
            <w:tcMar>
              <w:left w:w="103" w:type="dxa"/>
            </w:tcMar>
          </w:tcPr>
          <w:p>
            <w:pPr>
              <w:pStyle w:val="Normal"/>
              <w:spacing w:lineRule="auto" w:line="240" w:before="0" w:after="0"/>
              <w:jc w:val="right"/>
              <w:rPr>
                <w:b/>
                <w:b/>
                <w:color w:val="4472C4" w:themeColor="accent1"/>
              </w:rPr>
            </w:pPr>
            <w:r>
              <w:rPr>
                <w:b/>
                <w:color w:val="4472C4" w:themeColor="accent1"/>
              </w:rPr>
              <w:t>£30,822.47</w:t>
            </w:r>
          </w:p>
        </w:tc>
        <w:tc>
          <w:tcPr>
            <w:tcW w:w="1791" w:type="dxa"/>
            <w:tcBorders/>
            <w:shd w:fill="auto" w:val="clear"/>
            <w:tcMar>
              <w:left w:w="103" w:type="dxa"/>
            </w:tcMar>
          </w:tcPr>
          <w:p>
            <w:pPr>
              <w:pStyle w:val="Normal"/>
              <w:spacing w:lineRule="auto" w:line="240" w:before="0" w:after="0"/>
              <w:jc w:val="right"/>
              <w:rPr/>
            </w:pPr>
            <w:r>
              <w:rPr/>
            </w:r>
          </w:p>
        </w:tc>
      </w:tr>
      <w:tr>
        <w:trPr/>
        <w:tc>
          <w:tcPr>
            <w:tcW w:w="3681" w:type="dxa"/>
            <w:tcBorders/>
            <w:shd w:fill="auto" w:val="clear"/>
            <w:tcMar>
              <w:left w:w="103" w:type="dxa"/>
            </w:tcMar>
          </w:tcPr>
          <w:p>
            <w:pPr>
              <w:pStyle w:val="Normal"/>
              <w:spacing w:lineRule="auto" w:line="240" w:before="0" w:after="0"/>
              <w:rPr/>
            </w:pPr>
            <w:r>
              <w:rPr/>
              <w:t>Less Accounts Payments Ledger YTD</w:t>
            </w:r>
          </w:p>
        </w:tc>
        <w:tc>
          <w:tcPr>
            <w:tcW w:w="1700" w:type="dxa"/>
            <w:tcBorders/>
            <w:shd w:fill="auto" w:val="clear"/>
            <w:tcMar>
              <w:left w:w="103" w:type="dxa"/>
            </w:tcMar>
          </w:tcPr>
          <w:p>
            <w:pPr>
              <w:pStyle w:val="Normal"/>
              <w:spacing w:lineRule="auto" w:line="240" w:before="0" w:after="0"/>
              <w:rPr/>
            </w:pPr>
            <w:r>
              <w:rPr/>
              <w:t>(attached)</w:t>
            </w:r>
          </w:p>
        </w:tc>
        <w:tc>
          <w:tcPr>
            <w:tcW w:w="1843" w:type="dxa"/>
            <w:tcBorders/>
            <w:shd w:fill="auto" w:val="clear"/>
            <w:tcMar>
              <w:left w:w="103" w:type="dxa"/>
            </w:tcMar>
          </w:tcPr>
          <w:p>
            <w:pPr>
              <w:pStyle w:val="Normal"/>
              <w:spacing w:lineRule="auto" w:line="240" w:before="0" w:after="0"/>
              <w:jc w:val="right"/>
              <w:rPr>
                <w:b/>
                <w:b/>
              </w:rPr>
            </w:pPr>
            <w:r>
              <w:rPr>
                <w:b/>
                <w:color w:val="FF0000"/>
              </w:rPr>
              <w:t>£32.300.13</w:t>
            </w:r>
          </w:p>
        </w:tc>
        <w:tc>
          <w:tcPr>
            <w:tcW w:w="1791" w:type="dxa"/>
            <w:tcBorders/>
            <w:shd w:fill="auto" w:val="clear"/>
            <w:tcMar>
              <w:left w:w="103" w:type="dxa"/>
            </w:tcMar>
          </w:tcPr>
          <w:p>
            <w:pPr>
              <w:pStyle w:val="Normal"/>
              <w:spacing w:lineRule="auto" w:line="240" w:before="0" w:after="0"/>
              <w:jc w:val="right"/>
              <w:rPr/>
            </w:pPr>
            <w:r>
              <w:rPr/>
            </w:r>
          </w:p>
        </w:tc>
      </w:tr>
      <w:tr>
        <w:trPr/>
        <w:tc>
          <w:tcPr>
            <w:tcW w:w="3681" w:type="dxa"/>
            <w:tcBorders/>
            <w:shd w:fill="auto" w:val="clear"/>
            <w:tcMar>
              <w:left w:w="103" w:type="dxa"/>
            </w:tcMar>
          </w:tcPr>
          <w:p>
            <w:pPr>
              <w:pStyle w:val="Normal"/>
              <w:spacing w:lineRule="auto" w:line="240" w:before="0" w:after="0"/>
              <w:rPr/>
            </w:pPr>
            <w:r>
              <w:rPr/>
              <w:t>Plus Unpresented cheques @ 2/11/18</w:t>
            </w:r>
          </w:p>
        </w:tc>
        <w:tc>
          <w:tcPr>
            <w:tcW w:w="1700" w:type="dxa"/>
            <w:tcBorders/>
            <w:shd w:fill="auto" w:val="clear"/>
            <w:tcMar>
              <w:left w:w="103" w:type="dxa"/>
            </w:tcMar>
          </w:tcPr>
          <w:p>
            <w:pPr>
              <w:pStyle w:val="Normal"/>
              <w:spacing w:lineRule="auto" w:line="240" w:before="0" w:after="0"/>
              <w:rPr/>
            </w:pPr>
            <w:r>
              <w:rPr/>
            </w:r>
          </w:p>
        </w:tc>
        <w:tc>
          <w:tcPr>
            <w:tcW w:w="1843" w:type="dxa"/>
            <w:tcBorders/>
            <w:shd w:fill="auto" w:val="clear"/>
            <w:tcMar>
              <w:left w:w="103" w:type="dxa"/>
            </w:tcMar>
          </w:tcPr>
          <w:p>
            <w:pPr>
              <w:pStyle w:val="Normal"/>
              <w:spacing w:lineRule="auto" w:line="240" w:before="0" w:after="0"/>
              <w:jc w:val="right"/>
              <w:rPr/>
            </w:pPr>
            <w:r>
              <w:rPr/>
            </w:r>
          </w:p>
        </w:tc>
        <w:tc>
          <w:tcPr>
            <w:tcW w:w="1791" w:type="dxa"/>
            <w:tcBorders/>
            <w:shd w:fill="auto" w:val="clear"/>
            <w:tcMar>
              <w:left w:w="103" w:type="dxa"/>
            </w:tcMar>
          </w:tcPr>
          <w:p>
            <w:pPr>
              <w:pStyle w:val="Normal"/>
              <w:spacing w:lineRule="auto" w:line="240" w:before="0" w:after="0"/>
              <w:jc w:val="right"/>
              <w:rPr/>
            </w:pPr>
            <w:r>
              <w:rPr/>
            </w:r>
          </w:p>
        </w:tc>
      </w:tr>
      <w:tr>
        <w:trPr/>
        <w:tc>
          <w:tcPr>
            <w:tcW w:w="3681" w:type="dxa"/>
            <w:tcBorders/>
            <w:shd w:fill="auto" w:val="clear"/>
            <w:tcMar>
              <w:left w:w="103" w:type="dxa"/>
            </w:tcMar>
          </w:tcPr>
          <w:p>
            <w:pPr>
              <w:pStyle w:val="Normal"/>
              <w:spacing w:lineRule="auto" w:line="240" w:before="0" w:after="0"/>
              <w:rPr/>
            </w:pPr>
            <w:r>
              <w:rPr/>
              <w:t>101257</w:t>
            </w:r>
          </w:p>
        </w:tc>
        <w:tc>
          <w:tcPr>
            <w:tcW w:w="1700" w:type="dxa"/>
            <w:tcBorders/>
            <w:shd w:fill="auto" w:val="clear"/>
            <w:tcMar>
              <w:left w:w="103" w:type="dxa"/>
            </w:tcMar>
          </w:tcPr>
          <w:p>
            <w:pPr>
              <w:pStyle w:val="Normal"/>
              <w:spacing w:lineRule="auto" w:line="240" w:before="0" w:after="0"/>
              <w:jc w:val="right"/>
              <w:rPr>
                <w:b/>
                <w:b/>
                <w:color w:val="4472C4" w:themeColor="accent1"/>
              </w:rPr>
            </w:pPr>
            <w:r>
              <w:rPr>
                <w:b/>
                <w:color w:val="4472C4" w:themeColor="accent1"/>
              </w:rPr>
              <w:t>76.00</w:t>
            </w:r>
          </w:p>
        </w:tc>
        <w:tc>
          <w:tcPr>
            <w:tcW w:w="1843" w:type="dxa"/>
            <w:tcBorders/>
            <w:shd w:fill="auto" w:val="clear"/>
            <w:tcMar>
              <w:left w:w="103" w:type="dxa"/>
            </w:tcMar>
          </w:tcPr>
          <w:p>
            <w:pPr>
              <w:pStyle w:val="Normal"/>
              <w:spacing w:lineRule="auto" w:line="240" w:before="0" w:after="0"/>
              <w:jc w:val="right"/>
              <w:rPr>
                <w:b/>
                <w:b/>
                <w:color w:val="4472C4" w:themeColor="accent1"/>
              </w:rPr>
            </w:pPr>
            <w:r>
              <w:rPr>
                <w:b/>
                <w:color w:val="4472C4" w:themeColor="accent1"/>
              </w:rPr>
            </w:r>
          </w:p>
        </w:tc>
        <w:tc>
          <w:tcPr>
            <w:tcW w:w="1791" w:type="dxa"/>
            <w:tcBorders/>
            <w:shd w:fill="auto" w:val="clear"/>
            <w:tcMar>
              <w:left w:w="103" w:type="dxa"/>
            </w:tcMar>
          </w:tcPr>
          <w:p>
            <w:pPr>
              <w:pStyle w:val="Normal"/>
              <w:spacing w:lineRule="auto" w:line="240" w:before="0" w:after="0"/>
              <w:jc w:val="right"/>
              <w:rPr/>
            </w:pPr>
            <w:r>
              <w:rPr/>
            </w:r>
          </w:p>
        </w:tc>
      </w:tr>
      <w:tr>
        <w:trPr/>
        <w:tc>
          <w:tcPr>
            <w:tcW w:w="3681" w:type="dxa"/>
            <w:tcBorders/>
            <w:shd w:fill="auto" w:val="clear"/>
            <w:tcMar>
              <w:left w:w="103" w:type="dxa"/>
            </w:tcMar>
          </w:tcPr>
          <w:p>
            <w:pPr>
              <w:pStyle w:val="Normal"/>
              <w:spacing w:lineRule="auto" w:line="240" w:before="0" w:after="0"/>
              <w:rPr/>
            </w:pPr>
            <w:r>
              <w:rPr/>
              <w:t>101255</w:t>
            </w:r>
          </w:p>
        </w:tc>
        <w:tc>
          <w:tcPr>
            <w:tcW w:w="1700" w:type="dxa"/>
            <w:tcBorders/>
            <w:shd w:fill="auto" w:val="clear"/>
            <w:tcMar>
              <w:left w:w="103" w:type="dxa"/>
            </w:tcMar>
          </w:tcPr>
          <w:p>
            <w:pPr>
              <w:pStyle w:val="Normal"/>
              <w:spacing w:lineRule="auto" w:line="240" w:before="0" w:after="0"/>
              <w:jc w:val="right"/>
              <w:rPr>
                <w:b/>
                <w:b/>
                <w:color w:val="4472C4" w:themeColor="accent1"/>
              </w:rPr>
            </w:pPr>
            <w:r>
              <w:rPr>
                <w:b/>
                <w:color w:val="4472C4" w:themeColor="accent1"/>
              </w:rPr>
              <w:t>303.99</w:t>
            </w:r>
          </w:p>
        </w:tc>
        <w:tc>
          <w:tcPr>
            <w:tcW w:w="1843" w:type="dxa"/>
            <w:tcBorders/>
            <w:shd w:fill="auto" w:val="clear"/>
            <w:tcMar>
              <w:left w:w="103" w:type="dxa"/>
            </w:tcMar>
          </w:tcPr>
          <w:p>
            <w:pPr>
              <w:pStyle w:val="Normal"/>
              <w:spacing w:lineRule="auto" w:line="240" w:before="0" w:after="0"/>
              <w:jc w:val="right"/>
              <w:rPr>
                <w:b/>
                <w:b/>
                <w:color w:val="4472C4" w:themeColor="accent1"/>
              </w:rPr>
            </w:pPr>
            <w:r>
              <w:rPr>
                <w:b/>
                <w:color w:val="4472C4" w:themeColor="accent1"/>
              </w:rPr>
            </w:r>
          </w:p>
        </w:tc>
        <w:tc>
          <w:tcPr>
            <w:tcW w:w="1791" w:type="dxa"/>
            <w:tcBorders/>
            <w:shd w:fill="auto" w:val="clear"/>
            <w:tcMar>
              <w:left w:w="103" w:type="dxa"/>
            </w:tcMar>
          </w:tcPr>
          <w:p>
            <w:pPr>
              <w:pStyle w:val="Normal"/>
              <w:spacing w:lineRule="auto" w:line="240" w:before="0" w:after="0"/>
              <w:jc w:val="right"/>
              <w:rPr/>
            </w:pPr>
            <w:r>
              <w:rPr/>
            </w:r>
          </w:p>
        </w:tc>
      </w:tr>
      <w:tr>
        <w:trPr/>
        <w:tc>
          <w:tcPr>
            <w:tcW w:w="3681" w:type="dxa"/>
            <w:tcBorders/>
            <w:shd w:fill="auto" w:val="clear"/>
            <w:tcMar>
              <w:left w:w="103" w:type="dxa"/>
            </w:tcMar>
          </w:tcPr>
          <w:p>
            <w:pPr>
              <w:pStyle w:val="Normal"/>
              <w:spacing w:lineRule="auto" w:line="240" w:before="0" w:after="0"/>
              <w:rPr/>
            </w:pPr>
            <w:r>
              <w:rPr/>
              <w:t>101254</w:t>
            </w:r>
          </w:p>
        </w:tc>
        <w:tc>
          <w:tcPr>
            <w:tcW w:w="1700" w:type="dxa"/>
            <w:tcBorders/>
            <w:shd w:fill="auto" w:val="clear"/>
            <w:tcMar>
              <w:left w:w="103" w:type="dxa"/>
            </w:tcMar>
          </w:tcPr>
          <w:p>
            <w:pPr>
              <w:pStyle w:val="Normal"/>
              <w:spacing w:lineRule="auto" w:line="240" w:before="0" w:after="0"/>
              <w:jc w:val="right"/>
              <w:rPr>
                <w:b/>
                <w:b/>
                <w:color w:val="4472C4" w:themeColor="accent1"/>
              </w:rPr>
            </w:pPr>
            <w:r>
              <w:rPr>
                <w:b/>
                <w:color w:val="4472C4" w:themeColor="accent1"/>
              </w:rPr>
              <w:t>988.91</w:t>
            </w:r>
          </w:p>
        </w:tc>
        <w:tc>
          <w:tcPr>
            <w:tcW w:w="1843" w:type="dxa"/>
            <w:tcBorders/>
            <w:shd w:fill="auto" w:val="clear"/>
            <w:tcMar>
              <w:left w:w="103" w:type="dxa"/>
            </w:tcMar>
          </w:tcPr>
          <w:p>
            <w:pPr>
              <w:pStyle w:val="Normal"/>
              <w:spacing w:lineRule="auto" w:line="240" w:before="0" w:after="0"/>
              <w:jc w:val="right"/>
              <w:rPr>
                <w:b/>
                <w:b/>
                <w:color w:val="4472C4" w:themeColor="accent1"/>
              </w:rPr>
            </w:pPr>
            <w:r>
              <w:rPr>
                <w:b/>
                <w:color w:val="4472C4" w:themeColor="accent1"/>
              </w:rPr>
            </w:r>
          </w:p>
        </w:tc>
        <w:tc>
          <w:tcPr>
            <w:tcW w:w="1791" w:type="dxa"/>
            <w:tcBorders/>
            <w:shd w:fill="auto" w:val="clear"/>
            <w:tcMar>
              <w:left w:w="103" w:type="dxa"/>
            </w:tcMar>
          </w:tcPr>
          <w:p>
            <w:pPr>
              <w:pStyle w:val="Normal"/>
              <w:spacing w:lineRule="auto" w:line="240" w:before="0" w:after="0"/>
              <w:jc w:val="right"/>
              <w:rPr/>
            </w:pPr>
            <w:r>
              <w:rPr/>
            </w:r>
          </w:p>
        </w:tc>
      </w:tr>
      <w:tr>
        <w:trPr/>
        <w:tc>
          <w:tcPr>
            <w:tcW w:w="3681" w:type="dxa"/>
            <w:tcBorders/>
            <w:shd w:fill="auto" w:val="clear"/>
            <w:tcMar>
              <w:left w:w="103" w:type="dxa"/>
            </w:tcMar>
          </w:tcPr>
          <w:p>
            <w:pPr>
              <w:pStyle w:val="Normal"/>
              <w:spacing w:lineRule="auto" w:line="240" w:before="0" w:after="0"/>
              <w:rPr/>
            </w:pPr>
            <w:r>
              <w:rPr/>
              <w:t>101253</w:t>
            </w:r>
          </w:p>
        </w:tc>
        <w:tc>
          <w:tcPr>
            <w:tcW w:w="1700" w:type="dxa"/>
            <w:tcBorders/>
            <w:shd w:fill="auto" w:val="clear"/>
            <w:tcMar>
              <w:left w:w="103" w:type="dxa"/>
            </w:tcMar>
          </w:tcPr>
          <w:p>
            <w:pPr>
              <w:pStyle w:val="Normal"/>
              <w:spacing w:lineRule="auto" w:line="240" w:before="0" w:after="0"/>
              <w:jc w:val="right"/>
              <w:rPr>
                <w:b/>
                <w:b/>
                <w:color w:val="4472C4" w:themeColor="accent1"/>
              </w:rPr>
            </w:pPr>
            <w:r>
              <w:rPr>
                <w:b/>
                <w:color w:val="4472C4" w:themeColor="accent1"/>
              </w:rPr>
              <w:t>17.00</w:t>
            </w:r>
          </w:p>
        </w:tc>
        <w:tc>
          <w:tcPr>
            <w:tcW w:w="1843" w:type="dxa"/>
            <w:tcBorders/>
            <w:shd w:fill="auto" w:val="clear"/>
            <w:tcMar>
              <w:left w:w="103" w:type="dxa"/>
            </w:tcMar>
          </w:tcPr>
          <w:p>
            <w:pPr>
              <w:pStyle w:val="Normal"/>
              <w:spacing w:lineRule="auto" w:line="240" w:before="0" w:after="0"/>
              <w:jc w:val="right"/>
              <w:rPr>
                <w:b/>
                <w:b/>
                <w:color w:val="4472C4" w:themeColor="accent1"/>
              </w:rPr>
            </w:pPr>
            <w:r>
              <w:rPr>
                <w:b/>
                <w:color w:val="4472C4" w:themeColor="accent1"/>
              </w:rPr>
            </w:r>
          </w:p>
        </w:tc>
        <w:tc>
          <w:tcPr>
            <w:tcW w:w="1791" w:type="dxa"/>
            <w:tcBorders/>
            <w:shd w:fill="auto" w:val="clear"/>
            <w:tcMar>
              <w:left w:w="103" w:type="dxa"/>
            </w:tcMar>
          </w:tcPr>
          <w:p>
            <w:pPr>
              <w:pStyle w:val="Normal"/>
              <w:spacing w:lineRule="auto" w:line="240" w:before="0" w:after="0"/>
              <w:jc w:val="right"/>
              <w:rPr/>
            </w:pPr>
            <w:r>
              <w:rPr/>
            </w:r>
          </w:p>
        </w:tc>
      </w:tr>
      <w:tr>
        <w:trPr/>
        <w:tc>
          <w:tcPr>
            <w:tcW w:w="3681" w:type="dxa"/>
            <w:tcBorders/>
            <w:shd w:fill="auto" w:val="clear"/>
            <w:tcMar>
              <w:left w:w="103" w:type="dxa"/>
            </w:tcMar>
          </w:tcPr>
          <w:p>
            <w:pPr>
              <w:pStyle w:val="Normal"/>
              <w:spacing w:lineRule="auto" w:line="240" w:before="0" w:after="0"/>
              <w:rPr/>
            </w:pPr>
            <w:r>
              <w:rPr/>
              <w:t>101251</w:t>
            </w:r>
          </w:p>
        </w:tc>
        <w:tc>
          <w:tcPr>
            <w:tcW w:w="1700" w:type="dxa"/>
            <w:tcBorders/>
            <w:shd w:fill="auto" w:val="clear"/>
            <w:tcMar>
              <w:left w:w="103" w:type="dxa"/>
            </w:tcMar>
          </w:tcPr>
          <w:p>
            <w:pPr>
              <w:pStyle w:val="Normal"/>
              <w:spacing w:lineRule="auto" w:line="240" w:before="0" w:after="0"/>
              <w:jc w:val="right"/>
              <w:rPr>
                <w:b/>
                <w:b/>
                <w:color w:val="4472C4" w:themeColor="accent1"/>
              </w:rPr>
            </w:pPr>
            <w:r>
              <w:rPr>
                <w:b/>
                <w:color w:val="4472C4" w:themeColor="accent1"/>
              </w:rPr>
              <w:t>71.89</w:t>
            </w:r>
          </w:p>
        </w:tc>
        <w:tc>
          <w:tcPr>
            <w:tcW w:w="1843" w:type="dxa"/>
            <w:tcBorders/>
            <w:shd w:fill="auto" w:val="clear"/>
            <w:tcMar>
              <w:left w:w="103" w:type="dxa"/>
            </w:tcMar>
          </w:tcPr>
          <w:p>
            <w:pPr>
              <w:pStyle w:val="Normal"/>
              <w:spacing w:lineRule="auto" w:line="240" w:before="0" w:after="0"/>
              <w:jc w:val="right"/>
              <w:rPr>
                <w:b/>
                <w:b/>
                <w:color w:val="4472C4" w:themeColor="accent1"/>
              </w:rPr>
            </w:pPr>
            <w:r>
              <w:rPr>
                <w:b/>
                <w:color w:val="4472C4" w:themeColor="accent1"/>
              </w:rPr>
            </w:r>
          </w:p>
        </w:tc>
        <w:tc>
          <w:tcPr>
            <w:tcW w:w="1791" w:type="dxa"/>
            <w:tcBorders/>
            <w:shd w:fill="auto" w:val="clear"/>
            <w:tcMar>
              <w:left w:w="103" w:type="dxa"/>
            </w:tcMar>
          </w:tcPr>
          <w:p>
            <w:pPr>
              <w:pStyle w:val="Normal"/>
              <w:spacing w:lineRule="auto" w:line="240" w:before="0" w:after="0"/>
              <w:jc w:val="right"/>
              <w:rPr/>
            </w:pPr>
            <w:r>
              <w:rPr/>
            </w:r>
          </w:p>
        </w:tc>
      </w:tr>
      <w:tr>
        <w:trPr/>
        <w:tc>
          <w:tcPr>
            <w:tcW w:w="3681" w:type="dxa"/>
            <w:tcBorders/>
            <w:shd w:fill="auto" w:val="clear"/>
            <w:tcMar>
              <w:left w:w="103" w:type="dxa"/>
            </w:tcMar>
          </w:tcPr>
          <w:p>
            <w:pPr>
              <w:pStyle w:val="Normal"/>
              <w:spacing w:lineRule="auto" w:line="240" w:before="0" w:after="0"/>
              <w:rPr/>
            </w:pPr>
            <w:r>
              <w:rPr/>
              <w:t>101250</w:t>
            </w:r>
          </w:p>
        </w:tc>
        <w:tc>
          <w:tcPr>
            <w:tcW w:w="1700" w:type="dxa"/>
            <w:tcBorders/>
            <w:shd w:fill="auto" w:val="clear"/>
            <w:tcMar>
              <w:left w:w="103" w:type="dxa"/>
            </w:tcMar>
          </w:tcPr>
          <w:p>
            <w:pPr>
              <w:pStyle w:val="Normal"/>
              <w:spacing w:lineRule="auto" w:line="240" w:before="0" w:after="0"/>
              <w:jc w:val="right"/>
              <w:rPr>
                <w:b/>
                <w:b/>
                <w:color w:val="4472C4" w:themeColor="accent1"/>
              </w:rPr>
            </w:pPr>
            <w:r>
              <w:rPr>
                <w:b/>
                <w:color w:val="4472C4" w:themeColor="accent1"/>
              </w:rPr>
              <w:t>287.56</w:t>
            </w:r>
          </w:p>
        </w:tc>
        <w:tc>
          <w:tcPr>
            <w:tcW w:w="1843" w:type="dxa"/>
            <w:tcBorders/>
            <w:shd w:fill="auto" w:val="clear"/>
            <w:tcMar>
              <w:left w:w="103" w:type="dxa"/>
            </w:tcMar>
          </w:tcPr>
          <w:p>
            <w:pPr>
              <w:pStyle w:val="Normal"/>
              <w:spacing w:lineRule="auto" w:line="240" w:before="0" w:after="0"/>
              <w:jc w:val="right"/>
              <w:rPr>
                <w:b/>
                <w:b/>
                <w:color w:val="4472C4" w:themeColor="accent1"/>
              </w:rPr>
            </w:pPr>
            <w:r>
              <w:rPr>
                <w:b/>
                <w:color w:val="4472C4" w:themeColor="accent1"/>
              </w:rPr>
            </w:r>
          </w:p>
        </w:tc>
        <w:tc>
          <w:tcPr>
            <w:tcW w:w="1791" w:type="dxa"/>
            <w:tcBorders/>
            <w:shd w:fill="auto" w:val="clear"/>
            <w:tcMar>
              <w:left w:w="103" w:type="dxa"/>
            </w:tcMar>
          </w:tcPr>
          <w:p>
            <w:pPr>
              <w:pStyle w:val="Normal"/>
              <w:spacing w:lineRule="auto" w:line="240" w:before="0" w:after="0"/>
              <w:jc w:val="right"/>
              <w:rPr/>
            </w:pPr>
            <w:r>
              <w:rPr/>
            </w:r>
          </w:p>
        </w:tc>
      </w:tr>
      <w:tr>
        <w:trPr/>
        <w:tc>
          <w:tcPr>
            <w:tcW w:w="3681" w:type="dxa"/>
            <w:tcBorders/>
            <w:shd w:fill="auto" w:val="clear"/>
            <w:tcMar>
              <w:left w:w="103" w:type="dxa"/>
            </w:tcMar>
          </w:tcPr>
          <w:p>
            <w:pPr>
              <w:pStyle w:val="Normal"/>
              <w:spacing w:lineRule="auto" w:line="240" w:before="0" w:after="0"/>
              <w:rPr/>
            </w:pPr>
            <w:r>
              <w:rPr/>
              <w:t>101249</w:t>
            </w:r>
          </w:p>
        </w:tc>
        <w:tc>
          <w:tcPr>
            <w:tcW w:w="1700" w:type="dxa"/>
            <w:tcBorders/>
            <w:shd w:fill="auto" w:val="clear"/>
            <w:tcMar>
              <w:left w:w="103" w:type="dxa"/>
            </w:tcMar>
          </w:tcPr>
          <w:p>
            <w:pPr>
              <w:pStyle w:val="Normal"/>
              <w:spacing w:lineRule="auto" w:line="240" w:before="0" w:after="0"/>
              <w:jc w:val="right"/>
              <w:rPr>
                <w:b/>
                <w:b/>
                <w:color w:val="4472C4" w:themeColor="accent1"/>
              </w:rPr>
            </w:pPr>
            <w:r>
              <w:rPr>
                <w:b/>
                <w:color w:val="4472C4" w:themeColor="accent1"/>
              </w:rPr>
              <w:t>32.41</w:t>
            </w:r>
          </w:p>
        </w:tc>
        <w:tc>
          <w:tcPr>
            <w:tcW w:w="1843" w:type="dxa"/>
            <w:tcBorders/>
            <w:shd w:fill="auto" w:val="clear"/>
            <w:tcMar>
              <w:left w:w="103" w:type="dxa"/>
            </w:tcMar>
          </w:tcPr>
          <w:p>
            <w:pPr>
              <w:pStyle w:val="Normal"/>
              <w:spacing w:lineRule="auto" w:line="240" w:before="0" w:after="0"/>
              <w:jc w:val="right"/>
              <w:rPr>
                <w:b/>
                <w:b/>
                <w:color w:val="4472C4" w:themeColor="accent1"/>
              </w:rPr>
            </w:pPr>
            <w:r>
              <w:rPr>
                <w:b/>
                <w:color w:val="4472C4" w:themeColor="accent1"/>
              </w:rPr>
            </w:r>
          </w:p>
        </w:tc>
        <w:tc>
          <w:tcPr>
            <w:tcW w:w="1791" w:type="dxa"/>
            <w:tcBorders/>
            <w:shd w:fill="auto" w:val="clear"/>
            <w:tcMar>
              <w:left w:w="103" w:type="dxa"/>
            </w:tcMar>
          </w:tcPr>
          <w:p>
            <w:pPr>
              <w:pStyle w:val="Normal"/>
              <w:spacing w:lineRule="auto" w:line="240" w:before="0" w:after="0"/>
              <w:jc w:val="right"/>
              <w:rPr/>
            </w:pPr>
            <w:r>
              <w:rPr/>
            </w:r>
          </w:p>
        </w:tc>
      </w:tr>
      <w:tr>
        <w:trPr/>
        <w:tc>
          <w:tcPr>
            <w:tcW w:w="3681" w:type="dxa"/>
            <w:tcBorders/>
            <w:shd w:fill="auto" w:val="clear"/>
            <w:tcMar>
              <w:left w:w="103" w:type="dxa"/>
            </w:tcMar>
          </w:tcPr>
          <w:p>
            <w:pPr>
              <w:pStyle w:val="Normal"/>
              <w:spacing w:lineRule="auto" w:line="240" w:before="0" w:after="0"/>
              <w:rPr/>
            </w:pPr>
            <w:r>
              <w:rPr/>
              <w:t>101248</w:t>
            </w:r>
          </w:p>
        </w:tc>
        <w:tc>
          <w:tcPr>
            <w:tcW w:w="1700" w:type="dxa"/>
            <w:tcBorders/>
            <w:shd w:fill="auto" w:val="clear"/>
            <w:tcMar>
              <w:left w:w="103" w:type="dxa"/>
            </w:tcMar>
          </w:tcPr>
          <w:p>
            <w:pPr>
              <w:pStyle w:val="Normal"/>
              <w:spacing w:lineRule="auto" w:line="240" w:before="0" w:after="0"/>
              <w:jc w:val="right"/>
              <w:rPr>
                <w:b/>
                <w:b/>
                <w:color w:val="4472C4" w:themeColor="accent1"/>
              </w:rPr>
            </w:pPr>
            <w:r>
              <w:rPr>
                <w:b/>
                <w:color w:val="4472C4" w:themeColor="accent1"/>
              </w:rPr>
              <w:t>46.10</w:t>
            </w:r>
          </w:p>
        </w:tc>
        <w:tc>
          <w:tcPr>
            <w:tcW w:w="1843" w:type="dxa"/>
            <w:tcBorders/>
            <w:shd w:fill="auto" w:val="clear"/>
            <w:tcMar>
              <w:left w:w="103" w:type="dxa"/>
            </w:tcMar>
          </w:tcPr>
          <w:p>
            <w:pPr>
              <w:pStyle w:val="Normal"/>
              <w:spacing w:lineRule="auto" w:line="240" w:before="0" w:after="0"/>
              <w:jc w:val="right"/>
              <w:rPr>
                <w:b/>
                <w:b/>
                <w:color w:val="4472C4" w:themeColor="accent1"/>
              </w:rPr>
            </w:pPr>
            <w:r>
              <w:rPr>
                <w:b/>
                <w:color w:val="4472C4" w:themeColor="accent1"/>
              </w:rPr>
            </w:r>
          </w:p>
        </w:tc>
        <w:tc>
          <w:tcPr>
            <w:tcW w:w="1791" w:type="dxa"/>
            <w:tcBorders/>
            <w:shd w:fill="auto" w:val="clear"/>
            <w:tcMar>
              <w:left w:w="103" w:type="dxa"/>
            </w:tcMar>
          </w:tcPr>
          <w:p>
            <w:pPr>
              <w:pStyle w:val="Normal"/>
              <w:spacing w:lineRule="auto" w:line="240" w:before="0" w:after="0"/>
              <w:jc w:val="right"/>
              <w:rPr/>
            </w:pPr>
            <w:r>
              <w:rPr/>
            </w:r>
          </w:p>
        </w:tc>
      </w:tr>
      <w:tr>
        <w:trPr/>
        <w:tc>
          <w:tcPr>
            <w:tcW w:w="3681" w:type="dxa"/>
            <w:tcBorders/>
            <w:shd w:fill="auto" w:val="clear"/>
            <w:tcMar>
              <w:left w:w="103" w:type="dxa"/>
            </w:tcMar>
          </w:tcPr>
          <w:p>
            <w:pPr>
              <w:pStyle w:val="Normal"/>
              <w:spacing w:lineRule="auto" w:line="240" w:before="0" w:after="0"/>
              <w:rPr/>
            </w:pPr>
            <w:r>
              <w:rPr/>
              <w:t>101247</w:t>
            </w:r>
          </w:p>
        </w:tc>
        <w:tc>
          <w:tcPr>
            <w:tcW w:w="1700" w:type="dxa"/>
            <w:tcBorders/>
            <w:shd w:fill="auto" w:val="clear"/>
            <w:tcMar>
              <w:left w:w="103" w:type="dxa"/>
            </w:tcMar>
          </w:tcPr>
          <w:p>
            <w:pPr>
              <w:pStyle w:val="Normal"/>
              <w:spacing w:lineRule="auto" w:line="240" w:before="0" w:after="0"/>
              <w:jc w:val="right"/>
              <w:rPr>
                <w:b/>
                <w:b/>
                <w:color w:val="4472C4" w:themeColor="accent1"/>
              </w:rPr>
            </w:pPr>
            <w:r>
              <w:rPr>
                <w:b/>
                <w:color w:val="4472C4" w:themeColor="accent1"/>
              </w:rPr>
              <w:t>350.00</w:t>
            </w:r>
          </w:p>
        </w:tc>
        <w:tc>
          <w:tcPr>
            <w:tcW w:w="1843" w:type="dxa"/>
            <w:tcBorders/>
            <w:shd w:fill="auto" w:val="clear"/>
            <w:tcMar>
              <w:left w:w="103" w:type="dxa"/>
            </w:tcMar>
          </w:tcPr>
          <w:p>
            <w:pPr>
              <w:pStyle w:val="Normal"/>
              <w:spacing w:lineRule="auto" w:line="240" w:before="0" w:after="0"/>
              <w:jc w:val="right"/>
              <w:rPr>
                <w:b/>
                <w:b/>
                <w:color w:val="4472C4" w:themeColor="accent1"/>
              </w:rPr>
            </w:pPr>
            <w:r>
              <w:rPr>
                <w:b/>
                <w:color w:val="4472C4" w:themeColor="accent1"/>
              </w:rPr>
            </w:r>
          </w:p>
        </w:tc>
        <w:tc>
          <w:tcPr>
            <w:tcW w:w="1791" w:type="dxa"/>
            <w:tcBorders/>
            <w:shd w:fill="auto" w:val="clear"/>
            <w:tcMar>
              <w:left w:w="103" w:type="dxa"/>
            </w:tcMar>
          </w:tcPr>
          <w:p>
            <w:pPr>
              <w:pStyle w:val="Normal"/>
              <w:spacing w:lineRule="auto" w:line="240" w:before="0" w:after="0"/>
              <w:jc w:val="right"/>
              <w:rPr>
                <w:b/>
                <w:b/>
                <w:color w:val="0070C0"/>
              </w:rPr>
            </w:pPr>
            <w:r>
              <w:rPr>
                <w:b/>
                <w:color w:val="0070C0"/>
              </w:rPr>
            </w:r>
          </w:p>
        </w:tc>
      </w:tr>
      <w:tr>
        <w:trPr/>
        <w:tc>
          <w:tcPr>
            <w:tcW w:w="3681" w:type="dxa"/>
            <w:tcBorders/>
            <w:shd w:fill="auto" w:val="clear"/>
            <w:tcMar>
              <w:left w:w="103" w:type="dxa"/>
            </w:tcMar>
          </w:tcPr>
          <w:p>
            <w:pPr>
              <w:pStyle w:val="Normal"/>
              <w:spacing w:lineRule="auto" w:line="240" w:before="0" w:after="0"/>
              <w:rPr/>
            </w:pPr>
            <w:r>
              <w:rPr/>
              <w:t>101246</w:t>
            </w:r>
          </w:p>
        </w:tc>
        <w:tc>
          <w:tcPr>
            <w:tcW w:w="1700" w:type="dxa"/>
            <w:tcBorders/>
            <w:shd w:fill="auto" w:val="clear"/>
            <w:tcMar>
              <w:left w:w="103" w:type="dxa"/>
            </w:tcMar>
          </w:tcPr>
          <w:p>
            <w:pPr>
              <w:pStyle w:val="Normal"/>
              <w:spacing w:lineRule="auto" w:line="240" w:before="0" w:after="0"/>
              <w:jc w:val="right"/>
              <w:rPr>
                <w:b/>
                <w:b/>
                <w:color w:val="4472C4" w:themeColor="accent1"/>
              </w:rPr>
            </w:pPr>
            <w:r>
              <w:rPr>
                <w:b/>
                <w:color w:val="4472C4" w:themeColor="accent1"/>
              </w:rPr>
              <w:t>894.00</w:t>
            </w:r>
          </w:p>
        </w:tc>
        <w:tc>
          <w:tcPr>
            <w:tcW w:w="1843" w:type="dxa"/>
            <w:tcBorders/>
            <w:shd w:fill="auto" w:val="clear"/>
            <w:tcMar>
              <w:left w:w="103" w:type="dxa"/>
            </w:tcMar>
          </w:tcPr>
          <w:p>
            <w:pPr>
              <w:pStyle w:val="Normal"/>
              <w:spacing w:lineRule="auto" w:line="240" w:before="0" w:after="0"/>
              <w:jc w:val="right"/>
              <w:rPr>
                <w:b/>
                <w:b/>
                <w:color w:val="4472C4" w:themeColor="accent1"/>
              </w:rPr>
            </w:pPr>
            <w:r>
              <w:rPr>
                <w:b/>
                <w:color w:val="4472C4" w:themeColor="accent1"/>
              </w:rPr>
            </w:r>
          </w:p>
        </w:tc>
        <w:tc>
          <w:tcPr>
            <w:tcW w:w="1791" w:type="dxa"/>
            <w:tcBorders/>
            <w:shd w:fill="auto" w:val="clear"/>
            <w:tcMar>
              <w:left w:w="103" w:type="dxa"/>
            </w:tcMar>
          </w:tcPr>
          <w:p>
            <w:pPr>
              <w:pStyle w:val="Normal"/>
              <w:spacing w:lineRule="auto" w:line="240" w:before="0" w:after="0"/>
              <w:jc w:val="right"/>
              <w:rPr>
                <w:b/>
                <w:b/>
                <w:color w:val="0070C0"/>
              </w:rPr>
            </w:pPr>
            <w:r>
              <w:rPr>
                <w:b/>
                <w:color w:val="0070C0"/>
              </w:rPr>
            </w:r>
          </w:p>
        </w:tc>
      </w:tr>
      <w:tr>
        <w:trPr/>
        <w:tc>
          <w:tcPr>
            <w:tcW w:w="3681" w:type="dxa"/>
            <w:tcBorders/>
            <w:shd w:fill="auto" w:val="clear"/>
            <w:tcMar>
              <w:left w:w="103" w:type="dxa"/>
            </w:tcMar>
          </w:tcPr>
          <w:p>
            <w:pPr>
              <w:pStyle w:val="Normal"/>
              <w:spacing w:lineRule="auto" w:line="240" w:before="0" w:after="0"/>
              <w:rPr/>
            </w:pPr>
            <w:r>
              <w:rPr/>
              <w:t>101245</w:t>
            </w:r>
          </w:p>
        </w:tc>
        <w:tc>
          <w:tcPr>
            <w:tcW w:w="1700" w:type="dxa"/>
            <w:tcBorders/>
            <w:shd w:fill="auto" w:val="clear"/>
            <w:tcMar>
              <w:left w:w="103" w:type="dxa"/>
            </w:tcMar>
          </w:tcPr>
          <w:p>
            <w:pPr>
              <w:pStyle w:val="Normal"/>
              <w:spacing w:lineRule="auto" w:line="240" w:before="0" w:after="0"/>
              <w:jc w:val="right"/>
              <w:rPr>
                <w:b/>
                <w:b/>
                <w:color w:val="4472C4" w:themeColor="accent1"/>
              </w:rPr>
            </w:pPr>
            <w:r>
              <w:rPr>
                <w:b/>
                <w:color w:val="4472C4" w:themeColor="accent1"/>
              </w:rPr>
              <w:t>1,788.00</w:t>
            </w:r>
          </w:p>
        </w:tc>
        <w:tc>
          <w:tcPr>
            <w:tcW w:w="1843" w:type="dxa"/>
            <w:tcBorders/>
            <w:shd w:fill="auto" w:val="clear"/>
            <w:tcMar>
              <w:left w:w="103" w:type="dxa"/>
            </w:tcMar>
          </w:tcPr>
          <w:p>
            <w:pPr>
              <w:pStyle w:val="Normal"/>
              <w:spacing w:lineRule="auto" w:line="240" w:before="0" w:after="0"/>
              <w:jc w:val="right"/>
              <w:rPr>
                <w:b/>
                <w:b/>
                <w:color w:val="4472C4" w:themeColor="accent1"/>
              </w:rPr>
            </w:pPr>
            <w:r>
              <w:rPr>
                <w:b/>
                <w:color w:val="4472C4" w:themeColor="accent1"/>
              </w:rPr>
            </w:r>
          </w:p>
        </w:tc>
        <w:tc>
          <w:tcPr>
            <w:tcW w:w="1791" w:type="dxa"/>
            <w:tcBorders/>
            <w:shd w:fill="auto" w:val="clear"/>
            <w:tcMar>
              <w:left w:w="103" w:type="dxa"/>
            </w:tcMar>
          </w:tcPr>
          <w:p>
            <w:pPr>
              <w:pStyle w:val="Normal"/>
              <w:spacing w:lineRule="auto" w:line="240" w:before="0" w:after="0"/>
              <w:jc w:val="right"/>
              <w:rPr>
                <w:b/>
                <w:b/>
                <w:color w:val="0070C0"/>
              </w:rPr>
            </w:pPr>
            <w:r>
              <w:rPr>
                <w:b/>
                <w:color w:val="0070C0"/>
              </w:rPr>
            </w:r>
          </w:p>
        </w:tc>
      </w:tr>
      <w:tr>
        <w:trPr/>
        <w:tc>
          <w:tcPr>
            <w:tcW w:w="3681" w:type="dxa"/>
            <w:tcBorders/>
            <w:shd w:fill="auto" w:val="clear"/>
            <w:tcMar>
              <w:left w:w="103" w:type="dxa"/>
            </w:tcMar>
          </w:tcPr>
          <w:p>
            <w:pPr>
              <w:pStyle w:val="Normal"/>
              <w:spacing w:lineRule="auto" w:line="240" w:before="0" w:after="0"/>
              <w:rPr/>
            </w:pPr>
            <w:r>
              <w:rPr/>
              <w:t>101244</w:t>
            </w:r>
          </w:p>
        </w:tc>
        <w:tc>
          <w:tcPr>
            <w:tcW w:w="1700" w:type="dxa"/>
            <w:tcBorders/>
            <w:shd w:fill="auto" w:val="clear"/>
            <w:tcMar>
              <w:left w:w="103" w:type="dxa"/>
            </w:tcMar>
          </w:tcPr>
          <w:p>
            <w:pPr>
              <w:pStyle w:val="Normal"/>
              <w:spacing w:lineRule="auto" w:line="240" w:before="0" w:after="0"/>
              <w:jc w:val="right"/>
              <w:rPr>
                <w:b/>
                <w:b/>
                <w:color w:val="4472C4" w:themeColor="accent1"/>
              </w:rPr>
            </w:pPr>
            <w:r>
              <w:rPr>
                <w:b/>
                <w:color w:val="4472C4" w:themeColor="accent1"/>
              </w:rPr>
              <w:t>13.92</w:t>
            </w:r>
          </w:p>
        </w:tc>
        <w:tc>
          <w:tcPr>
            <w:tcW w:w="1843" w:type="dxa"/>
            <w:tcBorders/>
            <w:shd w:fill="auto" w:val="clear"/>
            <w:tcMar>
              <w:left w:w="103" w:type="dxa"/>
            </w:tcMar>
          </w:tcPr>
          <w:p>
            <w:pPr>
              <w:pStyle w:val="Normal"/>
              <w:spacing w:lineRule="auto" w:line="240" w:before="0" w:after="0"/>
              <w:jc w:val="right"/>
              <w:rPr>
                <w:b/>
                <w:b/>
                <w:color w:val="4472C4" w:themeColor="accent1"/>
              </w:rPr>
            </w:pPr>
            <w:r>
              <w:rPr>
                <w:b/>
                <w:color w:val="4472C4" w:themeColor="accent1"/>
              </w:rPr>
            </w:r>
          </w:p>
        </w:tc>
        <w:tc>
          <w:tcPr>
            <w:tcW w:w="1791" w:type="dxa"/>
            <w:tcBorders/>
            <w:shd w:fill="auto" w:val="clear"/>
            <w:tcMar>
              <w:left w:w="103" w:type="dxa"/>
            </w:tcMar>
          </w:tcPr>
          <w:p>
            <w:pPr>
              <w:pStyle w:val="Normal"/>
              <w:spacing w:lineRule="auto" w:line="240" w:before="0" w:after="0"/>
              <w:jc w:val="right"/>
              <w:rPr>
                <w:b/>
                <w:b/>
                <w:color w:val="0070C0"/>
              </w:rPr>
            </w:pPr>
            <w:r>
              <w:rPr>
                <w:b/>
                <w:color w:val="0070C0"/>
              </w:rPr>
            </w:r>
          </w:p>
        </w:tc>
      </w:tr>
      <w:tr>
        <w:trPr/>
        <w:tc>
          <w:tcPr>
            <w:tcW w:w="3681" w:type="dxa"/>
            <w:tcBorders/>
            <w:shd w:fill="auto" w:val="clear"/>
            <w:tcMar>
              <w:left w:w="103" w:type="dxa"/>
            </w:tcMar>
          </w:tcPr>
          <w:p>
            <w:pPr>
              <w:pStyle w:val="Normal"/>
              <w:spacing w:lineRule="auto" w:line="240" w:before="0" w:after="0"/>
              <w:rPr/>
            </w:pPr>
            <w:r>
              <w:rPr/>
              <w:t>101252</w:t>
            </w:r>
          </w:p>
        </w:tc>
        <w:tc>
          <w:tcPr>
            <w:tcW w:w="1700" w:type="dxa"/>
            <w:tcBorders/>
            <w:shd w:fill="auto" w:val="clear"/>
            <w:tcMar>
              <w:left w:w="103" w:type="dxa"/>
            </w:tcMar>
          </w:tcPr>
          <w:p>
            <w:pPr>
              <w:pStyle w:val="Normal"/>
              <w:spacing w:lineRule="auto" w:line="240" w:before="0" w:after="0"/>
              <w:jc w:val="right"/>
              <w:rPr>
                <w:b/>
                <w:b/>
                <w:color w:val="4472C4" w:themeColor="accent1"/>
              </w:rPr>
            </w:pPr>
            <w:r>
              <w:rPr>
                <w:b/>
                <w:color w:val="4472C4" w:themeColor="accent1"/>
              </w:rPr>
              <w:t>275.00</w:t>
            </w:r>
          </w:p>
        </w:tc>
        <w:tc>
          <w:tcPr>
            <w:tcW w:w="1843" w:type="dxa"/>
            <w:tcBorders/>
            <w:shd w:fill="auto" w:val="clear"/>
            <w:tcMar>
              <w:left w:w="103" w:type="dxa"/>
            </w:tcMar>
          </w:tcPr>
          <w:p>
            <w:pPr>
              <w:pStyle w:val="Normal"/>
              <w:spacing w:lineRule="auto" w:line="240" w:before="0" w:after="0"/>
              <w:jc w:val="right"/>
              <w:rPr>
                <w:b/>
                <w:b/>
                <w:color w:val="4472C4" w:themeColor="accent1"/>
              </w:rPr>
            </w:pPr>
            <w:r>
              <w:rPr>
                <w:b/>
                <w:color w:val="4472C4" w:themeColor="accent1"/>
              </w:rPr>
            </w:r>
          </w:p>
        </w:tc>
        <w:tc>
          <w:tcPr>
            <w:tcW w:w="1791" w:type="dxa"/>
            <w:tcBorders/>
            <w:shd w:fill="auto" w:val="clear"/>
            <w:tcMar>
              <w:left w:w="103" w:type="dxa"/>
            </w:tcMar>
          </w:tcPr>
          <w:p>
            <w:pPr>
              <w:pStyle w:val="Normal"/>
              <w:spacing w:lineRule="auto" w:line="240" w:before="0" w:after="0"/>
              <w:jc w:val="right"/>
              <w:rPr>
                <w:b/>
                <w:b/>
                <w:color w:val="0070C0"/>
              </w:rPr>
            </w:pPr>
            <w:r>
              <w:rPr>
                <w:b/>
                <w:color w:val="0070C0"/>
              </w:rPr>
            </w:r>
          </w:p>
        </w:tc>
      </w:tr>
      <w:tr>
        <w:trPr/>
        <w:tc>
          <w:tcPr>
            <w:tcW w:w="3681" w:type="dxa"/>
            <w:tcBorders/>
            <w:shd w:fill="auto" w:val="clear"/>
            <w:tcMar>
              <w:left w:w="103" w:type="dxa"/>
            </w:tcMar>
          </w:tcPr>
          <w:p>
            <w:pPr>
              <w:pStyle w:val="Normal"/>
              <w:spacing w:lineRule="auto" w:line="240" w:before="0" w:after="0"/>
              <w:rPr/>
            </w:pPr>
            <w:r>
              <w:rPr/>
              <w:t>DD E.ON</w:t>
            </w:r>
          </w:p>
        </w:tc>
        <w:tc>
          <w:tcPr>
            <w:tcW w:w="1700" w:type="dxa"/>
            <w:tcBorders/>
            <w:shd w:fill="auto" w:val="clear"/>
            <w:tcMar>
              <w:left w:w="103" w:type="dxa"/>
            </w:tcMar>
          </w:tcPr>
          <w:p>
            <w:pPr>
              <w:pStyle w:val="Normal"/>
              <w:spacing w:lineRule="auto" w:line="240" w:before="0" w:after="0"/>
              <w:jc w:val="right"/>
              <w:rPr>
                <w:b/>
                <w:b/>
                <w:color w:val="4472C4" w:themeColor="accent1"/>
              </w:rPr>
            </w:pPr>
            <w:r>
              <w:rPr>
                <w:b/>
                <w:color w:val="4472C4" w:themeColor="accent1"/>
              </w:rPr>
              <w:t>166.97</w:t>
            </w:r>
          </w:p>
        </w:tc>
        <w:tc>
          <w:tcPr>
            <w:tcW w:w="1843" w:type="dxa"/>
            <w:tcBorders/>
            <w:shd w:fill="auto" w:val="clear"/>
            <w:tcMar>
              <w:left w:w="103" w:type="dxa"/>
            </w:tcMar>
          </w:tcPr>
          <w:p>
            <w:pPr>
              <w:pStyle w:val="Normal"/>
              <w:spacing w:lineRule="auto" w:line="240" w:before="0" w:after="0"/>
              <w:jc w:val="right"/>
              <w:rPr>
                <w:b/>
                <w:b/>
                <w:color w:val="4472C4" w:themeColor="accent1"/>
              </w:rPr>
            </w:pPr>
            <w:r>
              <w:rPr>
                <w:b/>
                <w:color w:val="4472C4" w:themeColor="accent1"/>
              </w:rPr>
            </w:r>
          </w:p>
        </w:tc>
        <w:tc>
          <w:tcPr>
            <w:tcW w:w="1791" w:type="dxa"/>
            <w:tcBorders/>
            <w:shd w:fill="auto" w:val="clear"/>
            <w:tcMar>
              <w:left w:w="103" w:type="dxa"/>
            </w:tcMar>
          </w:tcPr>
          <w:p>
            <w:pPr>
              <w:pStyle w:val="Normal"/>
              <w:spacing w:lineRule="auto" w:line="240" w:before="0" w:after="0"/>
              <w:jc w:val="right"/>
              <w:rPr/>
            </w:pPr>
            <w:r>
              <w:rPr/>
            </w:r>
          </w:p>
        </w:tc>
      </w:tr>
      <w:tr>
        <w:trPr/>
        <w:tc>
          <w:tcPr>
            <w:tcW w:w="3681" w:type="dxa"/>
            <w:tcBorders/>
            <w:shd w:fill="auto" w:val="clear"/>
            <w:tcMar>
              <w:left w:w="103" w:type="dxa"/>
            </w:tcMar>
          </w:tcPr>
          <w:p>
            <w:pPr>
              <w:pStyle w:val="Normal"/>
              <w:spacing w:lineRule="auto" w:line="240" w:before="0" w:after="0"/>
              <w:rPr/>
            </w:pPr>
            <w:r>
              <w:rPr/>
            </w:r>
          </w:p>
        </w:tc>
        <w:tc>
          <w:tcPr>
            <w:tcW w:w="1700" w:type="dxa"/>
            <w:tcBorders/>
            <w:shd w:fill="auto" w:val="clear"/>
            <w:tcMar>
              <w:left w:w="103" w:type="dxa"/>
            </w:tcMar>
          </w:tcPr>
          <w:p>
            <w:pPr>
              <w:pStyle w:val="Normal"/>
              <w:spacing w:lineRule="auto" w:line="240" w:before="0" w:after="0"/>
              <w:jc w:val="right"/>
              <w:rPr>
                <w:b/>
                <w:b/>
                <w:color w:val="4472C4" w:themeColor="accent1"/>
              </w:rPr>
            </w:pPr>
            <w:r>
              <w:rPr>
                <w:b/>
                <w:color w:val="4472C4" w:themeColor="accent1"/>
              </w:rPr>
            </w:r>
          </w:p>
        </w:tc>
        <w:tc>
          <w:tcPr>
            <w:tcW w:w="1843" w:type="dxa"/>
            <w:tcBorders/>
            <w:shd w:fill="auto" w:val="clear"/>
            <w:tcMar>
              <w:left w:w="103" w:type="dxa"/>
            </w:tcMar>
          </w:tcPr>
          <w:p>
            <w:pPr>
              <w:pStyle w:val="Normal"/>
              <w:spacing w:lineRule="auto" w:line="240" w:before="0" w:after="0"/>
              <w:jc w:val="right"/>
              <w:rPr>
                <w:b/>
                <w:b/>
                <w:color w:val="4472C4" w:themeColor="accent1"/>
              </w:rPr>
            </w:pPr>
            <w:r>
              <w:rPr>
                <w:b/>
                <w:color w:val="4472C4" w:themeColor="accent1"/>
              </w:rPr>
              <w:t>5,311.75</w:t>
            </w:r>
          </w:p>
        </w:tc>
        <w:tc>
          <w:tcPr>
            <w:tcW w:w="1791" w:type="dxa"/>
            <w:tcBorders/>
            <w:shd w:fill="auto" w:val="clear"/>
            <w:tcMar>
              <w:left w:w="103" w:type="dxa"/>
            </w:tcMar>
          </w:tcPr>
          <w:p>
            <w:pPr>
              <w:pStyle w:val="Normal"/>
              <w:spacing w:lineRule="auto" w:line="240" w:before="0" w:after="0"/>
              <w:jc w:val="right"/>
              <w:rPr>
                <w:b/>
                <w:b/>
              </w:rPr>
            </w:pPr>
            <w:r>
              <w:rPr>
                <w:b/>
              </w:rPr>
            </w:r>
          </w:p>
        </w:tc>
      </w:tr>
      <w:tr>
        <w:trPr/>
        <w:tc>
          <w:tcPr>
            <w:tcW w:w="3681" w:type="dxa"/>
            <w:tcBorders/>
            <w:shd w:fill="auto" w:val="clear"/>
            <w:tcMar>
              <w:left w:w="103" w:type="dxa"/>
            </w:tcMar>
          </w:tcPr>
          <w:p>
            <w:pPr>
              <w:pStyle w:val="Normal"/>
              <w:spacing w:lineRule="auto" w:line="240" w:before="0" w:after="0"/>
              <w:rPr/>
            </w:pPr>
            <w:r>
              <w:rPr/>
            </w:r>
          </w:p>
        </w:tc>
        <w:tc>
          <w:tcPr>
            <w:tcW w:w="1700" w:type="dxa"/>
            <w:tcBorders/>
            <w:shd w:fill="auto" w:val="clear"/>
            <w:tcMar>
              <w:left w:w="103" w:type="dxa"/>
            </w:tcMar>
          </w:tcPr>
          <w:p>
            <w:pPr>
              <w:pStyle w:val="Normal"/>
              <w:spacing w:lineRule="auto" w:line="240" w:before="0" w:after="0"/>
              <w:jc w:val="right"/>
              <w:rPr/>
            </w:pPr>
            <w:r>
              <w:rPr/>
            </w:r>
          </w:p>
        </w:tc>
        <w:tc>
          <w:tcPr>
            <w:tcW w:w="1843" w:type="dxa"/>
            <w:tcBorders/>
            <w:shd w:fill="auto" w:val="clear"/>
            <w:tcMar>
              <w:left w:w="103" w:type="dxa"/>
            </w:tcMar>
          </w:tcPr>
          <w:p>
            <w:pPr>
              <w:pStyle w:val="Normal"/>
              <w:spacing w:lineRule="auto" w:line="240" w:before="0" w:after="0"/>
              <w:jc w:val="right"/>
              <w:rPr>
                <w:color w:val="FF0000"/>
              </w:rPr>
            </w:pPr>
            <w:r>
              <w:rPr>
                <w:color w:val="FF0000"/>
              </w:rPr>
            </w:r>
          </w:p>
        </w:tc>
        <w:tc>
          <w:tcPr>
            <w:tcW w:w="1791" w:type="dxa"/>
            <w:tcBorders/>
            <w:shd w:fill="auto" w:val="clear"/>
            <w:tcMar>
              <w:left w:w="103" w:type="dxa"/>
            </w:tcMar>
          </w:tcPr>
          <w:p>
            <w:pPr>
              <w:pStyle w:val="Normal"/>
              <w:spacing w:lineRule="auto" w:line="240" w:before="0" w:after="0"/>
              <w:jc w:val="right"/>
              <w:rPr/>
            </w:pPr>
            <w:r>
              <w:rPr/>
            </w:r>
          </w:p>
        </w:tc>
      </w:tr>
      <w:tr>
        <w:trPr/>
        <w:tc>
          <w:tcPr>
            <w:tcW w:w="3681" w:type="dxa"/>
            <w:tcBorders/>
            <w:shd w:fill="auto" w:val="clear"/>
            <w:tcMar>
              <w:left w:w="103" w:type="dxa"/>
            </w:tcMar>
          </w:tcPr>
          <w:p>
            <w:pPr>
              <w:pStyle w:val="Normal"/>
              <w:spacing w:lineRule="auto" w:line="240" w:before="0" w:after="0"/>
              <w:rPr/>
            </w:pPr>
            <w:r>
              <w:rPr/>
              <w:t>Less Receipt not on statement</w:t>
            </w:r>
          </w:p>
        </w:tc>
        <w:tc>
          <w:tcPr>
            <w:tcW w:w="1700" w:type="dxa"/>
            <w:tcBorders/>
            <w:shd w:fill="auto" w:val="clear"/>
            <w:tcMar>
              <w:left w:w="103" w:type="dxa"/>
            </w:tcMar>
          </w:tcPr>
          <w:p>
            <w:pPr>
              <w:pStyle w:val="Normal"/>
              <w:spacing w:lineRule="auto" w:line="240" w:before="0" w:after="0"/>
              <w:jc w:val="right"/>
              <w:rPr/>
            </w:pPr>
            <w:r>
              <w:rPr/>
            </w:r>
          </w:p>
        </w:tc>
        <w:tc>
          <w:tcPr>
            <w:tcW w:w="1843" w:type="dxa"/>
            <w:tcBorders/>
            <w:shd w:fill="auto" w:val="clear"/>
            <w:tcMar>
              <w:left w:w="103" w:type="dxa"/>
            </w:tcMar>
          </w:tcPr>
          <w:p>
            <w:pPr>
              <w:pStyle w:val="Normal"/>
              <w:spacing w:lineRule="auto" w:line="240" w:before="0" w:after="0"/>
              <w:jc w:val="right"/>
              <w:rPr>
                <w:b/>
                <w:b/>
                <w:color w:val="FF0000"/>
              </w:rPr>
            </w:pPr>
            <w:r>
              <w:rPr>
                <w:b/>
                <w:color w:val="FF0000"/>
              </w:rPr>
              <w:t>110.00</w:t>
            </w:r>
          </w:p>
        </w:tc>
        <w:tc>
          <w:tcPr>
            <w:tcW w:w="1791" w:type="dxa"/>
            <w:tcBorders/>
            <w:shd w:fill="auto" w:val="clear"/>
            <w:tcMar>
              <w:left w:w="103" w:type="dxa"/>
            </w:tcMar>
          </w:tcPr>
          <w:p>
            <w:pPr>
              <w:pStyle w:val="Normal"/>
              <w:spacing w:lineRule="auto" w:line="240" w:before="0" w:after="0"/>
              <w:jc w:val="right"/>
              <w:rPr/>
            </w:pPr>
            <w:r>
              <w:rPr/>
            </w:r>
          </w:p>
        </w:tc>
      </w:tr>
      <w:tr>
        <w:trPr/>
        <w:tc>
          <w:tcPr>
            <w:tcW w:w="3681" w:type="dxa"/>
            <w:tcBorders/>
            <w:shd w:fill="auto" w:val="clear"/>
            <w:tcMar>
              <w:left w:w="103" w:type="dxa"/>
            </w:tcMar>
          </w:tcPr>
          <w:p>
            <w:pPr>
              <w:pStyle w:val="Normal"/>
              <w:spacing w:lineRule="auto" w:line="240" w:before="0" w:after="0"/>
              <w:rPr/>
            </w:pPr>
            <w:r>
              <w:rPr/>
            </w:r>
          </w:p>
        </w:tc>
        <w:tc>
          <w:tcPr>
            <w:tcW w:w="1700" w:type="dxa"/>
            <w:tcBorders/>
            <w:shd w:fill="auto" w:val="clear"/>
            <w:tcMar>
              <w:left w:w="103" w:type="dxa"/>
            </w:tcMar>
          </w:tcPr>
          <w:p>
            <w:pPr>
              <w:pStyle w:val="Normal"/>
              <w:spacing w:lineRule="auto" w:line="240" w:before="0" w:after="0"/>
              <w:jc w:val="right"/>
              <w:rPr/>
            </w:pPr>
            <w:r>
              <w:rPr/>
            </w:r>
          </w:p>
        </w:tc>
        <w:tc>
          <w:tcPr>
            <w:tcW w:w="1843" w:type="dxa"/>
            <w:tcBorders/>
            <w:shd w:fill="auto" w:val="clear"/>
            <w:tcMar>
              <w:left w:w="103" w:type="dxa"/>
            </w:tcMar>
          </w:tcPr>
          <w:p>
            <w:pPr>
              <w:pStyle w:val="Normal"/>
              <w:spacing w:lineRule="auto" w:line="240" w:before="0" w:after="0"/>
              <w:jc w:val="right"/>
              <w:rPr>
                <w:b/>
                <w:b/>
                <w:color w:val="FF0000"/>
              </w:rPr>
            </w:pPr>
            <w:r>
              <w:rPr>
                <w:b/>
                <w:color w:val="FF0000"/>
              </w:rPr>
            </w:r>
          </w:p>
        </w:tc>
        <w:tc>
          <w:tcPr>
            <w:tcW w:w="1791" w:type="dxa"/>
            <w:tcBorders/>
            <w:shd w:fill="auto" w:val="clear"/>
            <w:tcMar>
              <w:left w:w="103" w:type="dxa"/>
            </w:tcMar>
          </w:tcPr>
          <w:p>
            <w:pPr>
              <w:pStyle w:val="Normal"/>
              <w:spacing w:lineRule="auto" w:line="240" w:before="0" w:after="0"/>
              <w:jc w:val="right"/>
              <w:rPr>
                <w:b/>
                <w:b/>
                <w:color w:val="0070C0"/>
              </w:rPr>
            </w:pPr>
            <w:r>
              <w:rPr>
                <w:b/>
                <w:color w:val="0070C0"/>
              </w:rPr>
            </w:r>
          </w:p>
        </w:tc>
      </w:tr>
      <w:tr>
        <w:trPr/>
        <w:tc>
          <w:tcPr>
            <w:tcW w:w="3681" w:type="dxa"/>
            <w:tcBorders/>
            <w:shd w:fill="auto" w:val="clear"/>
            <w:tcMar>
              <w:left w:w="103" w:type="dxa"/>
            </w:tcMar>
          </w:tcPr>
          <w:p>
            <w:pPr>
              <w:pStyle w:val="Normal"/>
              <w:spacing w:lineRule="auto" w:line="240" w:before="0" w:after="0"/>
              <w:rPr/>
            </w:pPr>
            <w:r>
              <w:rPr/>
            </w:r>
          </w:p>
        </w:tc>
        <w:tc>
          <w:tcPr>
            <w:tcW w:w="1700" w:type="dxa"/>
            <w:tcBorders/>
            <w:shd w:fill="auto" w:val="clear"/>
            <w:tcMar>
              <w:left w:w="103" w:type="dxa"/>
            </w:tcMar>
          </w:tcPr>
          <w:p>
            <w:pPr>
              <w:pStyle w:val="Normal"/>
              <w:spacing w:lineRule="auto" w:line="240" w:before="0" w:after="0"/>
              <w:jc w:val="right"/>
              <w:rPr/>
            </w:pPr>
            <w:r>
              <w:rPr/>
            </w:r>
          </w:p>
        </w:tc>
        <w:tc>
          <w:tcPr>
            <w:tcW w:w="1843" w:type="dxa"/>
            <w:tcBorders/>
            <w:shd w:fill="auto" w:val="clear"/>
            <w:tcMar>
              <w:left w:w="103" w:type="dxa"/>
            </w:tcMar>
          </w:tcPr>
          <w:p>
            <w:pPr>
              <w:pStyle w:val="Normal"/>
              <w:spacing w:lineRule="auto" w:line="240" w:before="0" w:after="0"/>
              <w:jc w:val="right"/>
              <w:rPr/>
            </w:pPr>
            <w:r>
              <w:rPr/>
            </w:r>
          </w:p>
        </w:tc>
        <w:tc>
          <w:tcPr>
            <w:tcW w:w="1791" w:type="dxa"/>
            <w:tcBorders/>
            <w:shd w:fill="auto" w:val="clear"/>
            <w:tcMar>
              <w:left w:w="103" w:type="dxa"/>
            </w:tcMar>
          </w:tcPr>
          <w:p>
            <w:pPr>
              <w:pStyle w:val="Normal"/>
              <w:spacing w:lineRule="auto" w:line="240" w:before="0" w:after="0"/>
              <w:jc w:val="right"/>
              <w:rPr>
                <w:b/>
                <w:b/>
                <w:color w:val="0070C0"/>
              </w:rPr>
            </w:pPr>
            <w:r>
              <w:rPr>
                <w:b/>
                <w:color w:val="0070C0"/>
              </w:rPr>
            </w:r>
          </w:p>
        </w:tc>
      </w:tr>
      <w:tr>
        <w:trPr/>
        <w:tc>
          <w:tcPr>
            <w:tcW w:w="3681" w:type="dxa"/>
            <w:tcBorders/>
            <w:shd w:fill="auto" w:val="clear"/>
            <w:tcMar>
              <w:left w:w="103" w:type="dxa"/>
            </w:tcMar>
          </w:tcPr>
          <w:p>
            <w:pPr>
              <w:pStyle w:val="Normal"/>
              <w:spacing w:lineRule="auto" w:line="240" w:before="0" w:after="0"/>
              <w:rPr/>
            </w:pPr>
            <w:r>
              <w:rPr/>
            </w:r>
          </w:p>
        </w:tc>
        <w:tc>
          <w:tcPr>
            <w:tcW w:w="1700" w:type="dxa"/>
            <w:tcBorders/>
            <w:shd w:fill="auto" w:val="clear"/>
            <w:tcMar>
              <w:left w:w="103" w:type="dxa"/>
            </w:tcMar>
          </w:tcPr>
          <w:p>
            <w:pPr>
              <w:pStyle w:val="Normal"/>
              <w:spacing w:lineRule="auto" w:line="240" w:before="0" w:after="0"/>
              <w:jc w:val="right"/>
              <w:rPr/>
            </w:pPr>
            <w:r>
              <w:rPr/>
            </w:r>
          </w:p>
        </w:tc>
        <w:tc>
          <w:tcPr>
            <w:tcW w:w="1843" w:type="dxa"/>
            <w:tcBorders/>
            <w:shd w:fill="auto" w:val="clear"/>
            <w:tcMar>
              <w:left w:w="103" w:type="dxa"/>
            </w:tcMar>
          </w:tcPr>
          <w:p>
            <w:pPr>
              <w:pStyle w:val="Normal"/>
              <w:spacing w:lineRule="auto" w:line="240" w:before="0" w:after="0"/>
              <w:jc w:val="right"/>
              <w:rPr/>
            </w:pPr>
            <w:r>
              <w:rPr/>
            </w:r>
          </w:p>
        </w:tc>
        <w:tc>
          <w:tcPr>
            <w:tcW w:w="1791" w:type="dxa"/>
            <w:tcBorders/>
            <w:shd w:fill="auto" w:val="clear"/>
            <w:tcMar>
              <w:left w:w="103" w:type="dxa"/>
            </w:tcMar>
          </w:tcPr>
          <w:p>
            <w:pPr>
              <w:pStyle w:val="Normal"/>
              <w:spacing w:lineRule="auto" w:line="240" w:before="0" w:after="0"/>
              <w:jc w:val="right"/>
              <w:rPr>
                <w:b/>
                <w:b/>
                <w:color w:val="0070C0"/>
              </w:rPr>
            </w:pPr>
            <w:r>
              <w:rPr>
                <w:b/>
                <w:color w:val="1F3864" w:themeColor="accent1" w:themeShade="80"/>
              </w:rPr>
              <w:t>£36,029.11</w:t>
            </w:r>
          </w:p>
        </w:tc>
      </w:tr>
    </w:tbl>
    <w:p>
      <w:pPr>
        <w:pStyle w:val="Normal"/>
        <w:rPr>
          <w:sz w:val="24"/>
          <w:szCs w:val="24"/>
        </w:rPr>
      </w:pPr>
      <w:r>
        <w:rPr>
          <w:sz w:val="24"/>
          <w:szCs w:val="24"/>
        </w:rPr>
      </w:r>
    </w:p>
    <w:p>
      <w:pPr>
        <w:pStyle w:val="ListParagraph"/>
        <w:ind w:left="1080" w:hanging="0"/>
        <w:rPr>
          <w:sz w:val="24"/>
          <w:szCs w:val="24"/>
        </w:rPr>
      </w:pPr>
      <w:r>
        <w:rPr>
          <w:sz w:val="24"/>
          <w:szCs w:val="24"/>
        </w:rPr>
      </w:r>
    </w:p>
    <w:p>
      <w:pPr>
        <w:pStyle w:val="Normal"/>
        <w:rPr>
          <w:sz w:val="24"/>
          <w:szCs w:val="24"/>
        </w:rPr>
      </w:pPr>
      <w:r>
        <w:rPr>
          <w:sz w:val="24"/>
          <w:szCs w:val="24"/>
        </w:rPr>
      </w:r>
    </w:p>
    <w:p>
      <w:pPr>
        <w:pStyle w:val="Normal"/>
        <w:ind w:firstLine="720"/>
        <w:rPr>
          <w:sz w:val="24"/>
          <w:szCs w:val="24"/>
        </w:rPr>
      </w:pPr>
      <w:r>
        <w:rPr>
          <w:sz w:val="24"/>
          <w:szCs w:val="24"/>
        </w:rPr>
        <w:t>b: Receipts &amp; Payments to be authorised – 27</w:t>
      </w:r>
      <w:r>
        <w:rPr>
          <w:sz w:val="24"/>
          <w:szCs w:val="24"/>
          <w:vertAlign w:val="superscript"/>
        </w:rPr>
        <w:t>th</w:t>
      </w:r>
      <w:r>
        <w:rPr>
          <w:sz w:val="24"/>
          <w:szCs w:val="24"/>
        </w:rPr>
        <w:t xml:space="preserve"> November 2018</w:t>
      </w:r>
    </w:p>
    <w:tbl>
      <w:tblPr>
        <w:tblW w:w="22414" w:type="dxa"/>
        <w:jc w:val="left"/>
        <w:tblInd w:w="0" w:type="dxa"/>
        <w:tblBorders/>
        <w:tblCellMar>
          <w:top w:w="0" w:type="dxa"/>
          <w:left w:w="108" w:type="dxa"/>
          <w:bottom w:w="0" w:type="dxa"/>
          <w:right w:w="108" w:type="dxa"/>
        </w:tblCellMar>
        <w:tblLook w:firstRow="1" w:noVBand="1" w:lastRow="0" w:firstColumn="1" w:lastColumn="0" w:noHBand="0" w:val="04a0"/>
      </w:tblPr>
      <w:tblGrid>
        <w:gridCol w:w="13441"/>
        <w:gridCol w:w="1161"/>
        <w:gridCol w:w="2831"/>
        <w:gridCol w:w="2979"/>
        <w:gridCol w:w="2002"/>
      </w:tblGrid>
      <w:tr>
        <w:trPr>
          <w:trHeight w:val="288" w:hRule="atLeast"/>
        </w:trPr>
        <w:tc>
          <w:tcPr>
            <w:tcW w:w="13441" w:type="dxa"/>
            <w:tcBorders/>
            <w:shd w:color="auto" w:fill="auto" w:val="clear"/>
            <w:vAlign w:val="bottom"/>
          </w:tcPr>
          <w:p>
            <w:pPr>
              <w:pStyle w:val="Normal"/>
              <w:rPr>
                <w:b/>
                <w:b/>
                <w:sz w:val="28"/>
                <w:szCs w:val="28"/>
              </w:rPr>
            </w:pPr>
            <w:r>
              <w:rPr>
                <w:b/>
                <w:sz w:val="28"/>
                <w:szCs w:val="28"/>
              </w:rPr>
              <w:t xml:space="preserve">Receipts </w:t>
            </w:r>
          </w:p>
          <w:tbl>
            <w:tblPr>
              <w:tblW w:w="7180" w:type="dxa"/>
              <w:jc w:val="left"/>
              <w:tblInd w:w="0" w:type="dxa"/>
              <w:tblBorders/>
              <w:tblCellMar>
                <w:top w:w="0" w:type="dxa"/>
                <w:left w:w="108" w:type="dxa"/>
                <w:bottom w:w="0" w:type="dxa"/>
                <w:right w:w="108" w:type="dxa"/>
              </w:tblCellMar>
              <w:tblLook w:firstRow="1" w:noVBand="1" w:lastRow="0" w:firstColumn="1" w:lastColumn="0" w:noHBand="0" w:val="04a0"/>
            </w:tblPr>
            <w:tblGrid>
              <w:gridCol w:w="1420"/>
              <w:gridCol w:w="3259"/>
              <w:gridCol w:w="1202"/>
              <w:gridCol w:w="1298"/>
            </w:tblGrid>
            <w:tr>
              <w:trPr>
                <w:trHeight w:val="288" w:hRule="atLeast"/>
              </w:trPr>
              <w:tc>
                <w:tcPr>
                  <w:tcW w:w="1420" w:type="dxa"/>
                  <w:tcBorders/>
                  <w:shd w:color="auto" w:fill="auto" w:val="cle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t>26/10/2018</w:t>
                  </w:r>
                </w:p>
              </w:tc>
              <w:tc>
                <w:tcPr>
                  <w:tcW w:w="3259" w:type="dxa"/>
                  <w:tcBorders/>
                  <w:shd w:color="auto" w:fill="auto" w:val="clear"/>
                  <w:vAlign w:val="bottom"/>
                </w:tcPr>
                <w:p>
                  <w:pPr>
                    <w:pStyle w:val="Normal"/>
                    <w:spacing w:lineRule="auto" w:line="240" w:before="0" w:after="0"/>
                    <w:rPr>
                      <w:rFonts w:ascii="Calibri" w:hAnsi="Calibri" w:eastAsia="Times New Roman" w:cs="Calibri"/>
                      <w:color w:val="000000"/>
                      <w:lang w:eastAsia="en-GB"/>
                    </w:rPr>
                  </w:pPr>
                  <w:r>
                    <w:rPr>
                      <w:rFonts w:eastAsia="Times New Roman" w:cs="Calibri"/>
                      <w:color w:val="000000"/>
                      <w:lang w:eastAsia="en-GB"/>
                    </w:rPr>
                    <w:t>VAT CLAIM APR – SEPT</w:t>
                  </w:r>
                </w:p>
              </w:tc>
              <w:tc>
                <w:tcPr>
                  <w:tcW w:w="1202" w:type="dxa"/>
                  <w:tcBorders/>
                  <w:shd w:color="auto" w:fill="auto" w:val="clear"/>
                  <w:vAlign w:val="bottom"/>
                </w:tcPr>
                <w:p>
                  <w:pPr>
                    <w:pStyle w:val="Normal"/>
                    <w:spacing w:lineRule="auto" w:line="240" w:before="0" w:after="0"/>
                    <w:rPr>
                      <w:rFonts w:ascii="Calibri" w:hAnsi="Calibri" w:eastAsia="Times New Roman" w:cs="Calibri"/>
                      <w:color w:val="000000"/>
                      <w:lang w:eastAsia="en-GB"/>
                    </w:rPr>
                  </w:pPr>
                  <w:r>
                    <w:rPr>
                      <w:rFonts w:eastAsia="Times New Roman" w:cs="Calibri"/>
                      <w:color w:val="000000"/>
                      <w:lang w:eastAsia="en-GB"/>
                    </w:rPr>
                    <w:t>HMRC</w:t>
                  </w:r>
                </w:p>
              </w:tc>
              <w:tc>
                <w:tcPr>
                  <w:tcW w:w="1298" w:type="dxa"/>
                  <w:tcBorders/>
                  <w:shd w:color="auto" w:fill="auto" w:val="cle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t>£1,635.14</w:t>
                  </w:r>
                </w:p>
              </w:tc>
            </w:tr>
            <w:tr>
              <w:trPr>
                <w:trHeight w:val="288" w:hRule="atLeast"/>
              </w:trPr>
              <w:tc>
                <w:tcPr>
                  <w:tcW w:w="1420" w:type="dxa"/>
                  <w:tcBorders/>
                  <w:shd w:color="auto" w:fill="auto" w:val="cle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t>02/11/2018</w:t>
                  </w:r>
                </w:p>
              </w:tc>
              <w:tc>
                <w:tcPr>
                  <w:tcW w:w="3259" w:type="dxa"/>
                  <w:tcBorders/>
                  <w:shd w:color="auto" w:fill="auto" w:val="clear"/>
                  <w:vAlign w:val="bottom"/>
                </w:tcPr>
                <w:p>
                  <w:pPr>
                    <w:pStyle w:val="Normal"/>
                    <w:spacing w:lineRule="auto" w:line="240" w:before="0" w:after="0"/>
                    <w:rPr>
                      <w:rFonts w:ascii="Calibri" w:hAnsi="Calibri" w:eastAsia="Times New Roman" w:cs="Calibri"/>
                      <w:color w:val="000000"/>
                      <w:lang w:eastAsia="en-GB"/>
                    </w:rPr>
                  </w:pPr>
                  <w:r>
                    <w:rPr>
                      <w:rFonts w:eastAsia="Times New Roman" w:cs="Calibri"/>
                      <w:color w:val="000000"/>
                      <w:lang w:eastAsia="en-GB"/>
                    </w:rPr>
                    <w:t>ALLOTMENTS</w:t>
                  </w:r>
                </w:p>
              </w:tc>
              <w:tc>
                <w:tcPr>
                  <w:tcW w:w="1202" w:type="dxa"/>
                  <w:tcBorders/>
                  <w:shd w:color="auto" w:fill="auto" w:val="clear"/>
                  <w:vAlign w:val="bottom"/>
                </w:tcPr>
                <w:p>
                  <w:pPr>
                    <w:pStyle w:val="Normal"/>
                    <w:spacing w:lineRule="auto" w:line="240" w:before="0" w:after="0"/>
                    <w:rPr>
                      <w:rFonts w:ascii="Calibri" w:hAnsi="Calibri" w:eastAsia="Times New Roman" w:cs="Calibri"/>
                      <w:color w:val="000000"/>
                      <w:lang w:eastAsia="en-GB"/>
                    </w:rPr>
                  </w:pPr>
                  <w:r>
                    <w:rPr>
                      <w:rFonts w:eastAsia="Times New Roman" w:cs="Calibri"/>
                      <w:color w:val="000000"/>
                      <w:lang w:eastAsia="en-GB"/>
                    </w:rPr>
                    <w:t>CHQS</w:t>
                  </w:r>
                </w:p>
              </w:tc>
              <w:tc>
                <w:tcPr>
                  <w:tcW w:w="1298" w:type="dxa"/>
                  <w:tcBorders/>
                  <w:shd w:color="auto" w:fill="auto" w:val="cle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t>£440.00</w:t>
                  </w:r>
                </w:p>
              </w:tc>
            </w:tr>
          </w:tbl>
          <w:p>
            <w:pPr>
              <w:pStyle w:val="Normal"/>
              <w:rPr>
                <w:b/>
                <w:b/>
                <w:sz w:val="28"/>
                <w:szCs w:val="28"/>
              </w:rPr>
            </w:pPr>
            <w:r>
              <w:rPr>
                <w:b/>
                <w:sz w:val="28"/>
                <w:szCs w:val="28"/>
              </w:rPr>
            </w:r>
          </w:p>
          <w:p>
            <w:pPr>
              <w:pStyle w:val="Normal"/>
              <w:rPr>
                <w:b/>
                <w:b/>
                <w:sz w:val="28"/>
                <w:szCs w:val="28"/>
              </w:rPr>
            </w:pPr>
            <w:r>
              <w:rPr>
                <w:b/>
                <w:sz w:val="28"/>
                <w:szCs w:val="28"/>
              </w:rPr>
              <w:t>Payments to be authorised – 27</w:t>
            </w:r>
            <w:r>
              <w:rPr>
                <w:b/>
                <w:sz w:val="28"/>
                <w:szCs w:val="28"/>
                <w:vertAlign w:val="superscript"/>
              </w:rPr>
              <w:t>th</w:t>
            </w:r>
            <w:r>
              <w:rPr>
                <w:b/>
                <w:sz w:val="28"/>
                <w:szCs w:val="28"/>
              </w:rPr>
              <w:t xml:space="preserve"> November 2018</w:t>
            </w:r>
          </w:p>
          <w:tbl>
            <w:tblPr>
              <w:tblW w:w="9860" w:type="dxa"/>
              <w:jc w:val="left"/>
              <w:tblInd w:w="0" w:type="dxa"/>
              <w:tblBorders/>
              <w:tblCellMar>
                <w:top w:w="0" w:type="dxa"/>
                <w:left w:w="108" w:type="dxa"/>
                <w:bottom w:w="0" w:type="dxa"/>
                <w:right w:w="108" w:type="dxa"/>
              </w:tblCellMar>
              <w:tblLook w:firstRow="1" w:noVBand="1" w:lastRow="0" w:firstColumn="1" w:lastColumn="0" w:noHBand="0" w:val="04a0"/>
            </w:tblPr>
            <w:tblGrid>
              <w:gridCol w:w="1298"/>
              <w:gridCol w:w="1160"/>
              <w:gridCol w:w="2420"/>
              <w:gridCol w:w="2980"/>
              <w:gridCol w:w="2002"/>
            </w:tblGrid>
            <w:tr>
              <w:trPr>
                <w:trHeight w:val="288" w:hRule="atLeast"/>
              </w:trPr>
              <w:tc>
                <w:tcPr>
                  <w:tcW w:w="1298" w:type="dxa"/>
                  <w:tcBorders/>
                  <w:shd w:color="auto" w:fill="auto" w:val="cle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t>12/11/2018</w:t>
                  </w:r>
                </w:p>
              </w:tc>
              <w:tc>
                <w:tcPr>
                  <w:tcW w:w="1160" w:type="dxa"/>
                  <w:tcBorders/>
                  <w:shd w:color="auto" w:fill="auto" w:val="clear"/>
                  <w:vAlign w:val="bottom"/>
                </w:tcPr>
                <w:p>
                  <w:pPr>
                    <w:pStyle w:val="Normal"/>
                    <w:spacing w:lineRule="auto" w:line="240" w:before="0" w:after="0"/>
                    <w:jc w:val="center"/>
                    <w:rPr>
                      <w:rFonts w:ascii="Calibri" w:hAnsi="Calibri" w:eastAsia="Times New Roman" w:cs="Calibri"/>
                      <w:color w:val="000000"/>
                      <w:lang w:eastAsia="en-GB"/>
                    </w:rPr>
                  </w:pPr>
                  <w:r>
                    <w:rPr>
                      <w:rFonts w:eastAsia="Times New Roman" w:cs="Calibri"/>
                      <w:color w:val="000000"/>
                      <w:lang w:eastAsia="en-GB"/>
                    </w:rPr>
                    <w:t>DD</w:t>
                  </w:r>
                </w:p>
              </w:tc>
              <w:tc>
                <w:tcPr>
                  <w:tcW w:w="2420" w:type="dxa"/>
                  <w:tcBorders/>
                  <w:shd w:color="auto" w:fill="auto" w:val="clear"/>
                  <w:vAlign w:val="bottom"/>
                </w:tcPr>
                <w:p>
                  <w:pPr>
                    <w:pStyle w:val="Normal"/>
                    <w:spacing w:lineRule="auto" w:line="240" w:before="0" w:after="0"/>
                    <w:rPr>
                      <w:rFonts w:ascii="Calibri" w:hAnsi="Calibri" w:eastAsia="Times New Roman" w:cs="Calibri"/>
                      <w:color w:val="000000"/>
                      <w:lang w:eastAsia="en-GB"/>
                    </w:rPr>
                  </w:pPr>
                  <w:r>
                    <w:rPr>
                      <w:rFonts w:eastAsia="Times New Roman" w:cs="Calibri"/>
                      <w:color w:val="000000"/>
                      <w:lang w:eastAsia="en-GB"/>
                    </w:rPr>
                    <w:t>E.ON</w:t>
                  </w:r>
                </w:p>
              </w:tc>
              <w:tc>
                <w:tcPr>
                  <w:tcW w:w="2980" w:type="dxa"/>
                  <w:tcBorders/>
                  <w:shd w:color="auto" w:fill="auto" w:val="clear"/>
                  <w:vAlign w:val="bottom"/>
                </w:tcPr>
                <w:p>
                  <w:pPr>
                    <w:pStyle w:val="Normal"/>
                    <w:spacing w:lineRule="auto" w:line="240" w:before="0" w:after="0"/>
                    <w:rPr>
                      <w:rFonts w:ascii="Calibri" w:hAnsi="Calibri" w:eastAsia="Times New Roman" w:cs="Calibri"/>
                      <w:color w:val="000000"/>
                      <w:lang w:eastAsia="en-GB"/>
                    </w:rPr>
                  </w:pPr>
                  <w:r>
                    <w:rPr>
                      <w:rFonts w:eastAsia="Times New Roman" w:cs="Calibri"/>
                      <w:color w:val="000000"/>
                      <w:lang w:eastAsia="en-GB"/>
                    </w:rPr>
                    <w:t>ELECTRIC</w:t>
                  </w:r>
                </w:p>
              </w:tc>
              <w:tc>
                <w:tcPr>
                  <w:tcW w:w="2002" w:type="dxa"/>
                  <w:tcBorders/>
                  <w:shd w:color="auto" w:fill="auto" w:val="cle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t>£166.97</w:t>
                  </w:r>
                </w:p>
              </w:tc>
            </w:tr>
            <w:tr>
              <w:trPr>
                <w:trHeight w:val="288" w:hRule="atLeast"/>
              </w:trPr>
              <w:tc>
                <w:tcPr>
                  <w:tcW w:w="1298" w:type="dxa"/>
                  <w:tcBorders/>
                  <w:shd w:color="auto" w:fill="auto" w:val="cle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t>09/11/2018</w:t>
                  </w:r>
                </w:p>
              </w:tc>
              <w:tc>
                <w:tcPr>
                  <w:tcW w:w="1160" w:type="dxa"/>
                  <w:tcBorders/>
                  <w:shd w:color="auto" w:fill="auto" w:val="clear"/>
                  <w:vAlign w:val="bottom"/>
                </w:tcPr>
                <w:p>
                  <w:pPr>
                    <w:pStyle w:val="Normal"/>
                    <w:spacing w:lineRule="auto" w:line="240" w:before="0" w:after="0"/>
                    <w:jc w:val="center"/>
                    <w:rPr>
                      <w:rFonts w:ascii="Calibri" w:hAnsi="Calibri" w:eastAsia="Times New Roman" w:cs="Calibri"/>
                      <w:color w:val="000000"/>
                      <w:lang w:eastAsia="en-GB"/>
                    </w:rPr>
                  </w:pPr>
                  <w:r>
                    <w:rPr>
                      <w:rFonts w:eastAsia="Times New Roman" w:cs="Calibri"/>
                      <w:color w:val="000000"/>
                      <w:lang w:eastAsia="en-GB"/>
                    </w:rPr>
                    <w:t>SO</w:t>
                  </w:r>
                </w:p>
              </w:tc>
              <w:tc>
                <w:tcPr>
                  <w:tcW w:w="2420" w:type="dxa"/>
                  <w:tcBorders/>
                  <w:shd w:color="auto" w:fill="auto" w:val="clear"/>
                  <w:vAlign w:val="bottom"/>
                </w:tcPr>
                <w:p>
                  <w:pPr>
                    <w:pStyle w:val="Normal"/>
                    <w:spacing w:lineRule="auto" w:line="240" w:before="0" w:after="0"/>
                    <w:rPr>
                      <w:rFonts w:ascii="Calibri" w:hAnsi="Calibri" w:eastAsia="Times New Roman" w:cs="Calibri"/>
                      <w:color w:val="000000"/>
                      <w:lang w:eastAsia="en-GB"/>
                    </w:rPr>
                  </w:pPr>
                  <w:r>
                    <w:rPr>
                      <w:rFonts w:eastAsia="Times New Roman" w:cs="Calibri"/>
                      <w:color w:val="000000"/>
                      <w:lang w:eastAsia="en-GB"/>
                    </w:rPr>
                    <w:t>COZENS UK LTD</w:t>
                  </w:r>
                </w:p>
              </w:tc>
              <w:tc>
                <w:tcPr>
                  <w:tcW w:w="2980" w:type="dxa"/>
                  <w:tcBorders/>
                  <w:shd w:color="auto" w:fill="auto" w:val="clear"/>
                  <w:vAlign w:val="bottom"/>
                </w:tcPr>
                <w:p>
                  <w:pPr>
                    <w:pStyle w:val="Normal"/>
                    <w:spacing w:lineRule="auto" w:line="240" w:before="0" w:after="0"/>
                    <w:rPr>
                      <w:rFonts w:ascii="Calibri" w:hAnsi="Calibri" w:eastAsia="Times New Roman" w:cs="Calibri"/>
                      <w:color w:val="000000"/>
                      <w:lang w:eastAsia="en-GB"/>
                    </w:rPr>
                  </w:pPr>
                  <w:r>
                    <w:rPr>
                      <w:rFonts w:eastAsia="Times New Roman" w:cs="Calibri"/>
                      <w:color w:val="000000"/>
                      <w:lang w:eastAsia="en-GB"/>
                    </w:rPr>
                    <w:t>NOVEMBER PAYMENT</w:t>
                  </w:r>
                </w:p>
              </w:tc>
              <w:tc>
                <w:tcPr>
                  <w:tcW w:w="2002" w:type="dxa"/>
                  <w:tcBorders/>
                  <w:shd w:color="auto" w:fill="auto" w:val="cle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t>£150.00</w:t>
                  </w:r>
                </w:p>
              </w:tc>
            </w:tr>
            <w:tr>
              <w:trPr>
                <w:trHeight w:val="288" w:hRule="atLeast"/>
              </w:trPr>
              <w:tc>
                <w:tcPr>
                  <w:tcW w:w="1298" w:type="dxa"/>
                  <w:tcBorders/>
                  <w:shd w:color="auto" w:fill="auto" w:val="cle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t>27/11/2018</w:t>
                  </w:r>
                </w:p>
              </w:tc>
              <w:tc>
                <w:tcPr>
                  <w:tcW w:w="1160" w:type="dxa"/>
                  <w:tcBorders/>
                  <w:shd w:color="auto" w:fill="auto" w:val="clear"/>
                  <w:vAlign w:val="bottom"/>
                </w:tcPr>
                <w:p>
                  <w:pPr>
                    <w:pStyle w:val="Normal"/>
                    <w:spacing w:lineRule="auto" w:line="240" w:before="0" w:after="0"/>
                    <w:jc w:val="center"/>
                    <w:rPr>
                      <w:rFonts w:ascii="Calibri" w:hAnsi="Calibri" w:eastAsia="Times New Roman" w:cs="Calibri"/>
                      <w:color w:val="000000"/>
                      <w:lang w:eastAsia="en-GB"/>
                    </w:rPr>
                  </w:pPr>
                  <w:r>
                    <w:rPr>
                      <w:rFonts w:eastAsia="Times New Roman" w:cs="Calibri"/>
                      <w:color w:val="000000"/>
                      <w:lang w:eastAsia="en-GB"/>
                    </w:rPr>
                    <w:t>101252</w:t>
                  </w:r>
                </w:p>
              </w:tc>
              <w:tc>
                <w:tcPr>
                  <w:tcW w:w="2420" w:type="dxa"/>
                  <w:tcBorders/>
                  <w:shd w:color="auto" w:fill="auto" w:val="clear"/>
                  <w:vAlign w:val="bottom"/>
                </w:tcPr>
                <w:p>
                  <w:pPr>
                    <w:pStyle w:val="Normal"/>
                    <w:spacing w:lineRule="auto" w:line="240" w:before="0" w:after="0"/>
                    <w:rPr>
                      <w:rFonts w:ascii="Calibri" w:hAnsi="Calibri" w:eastAsia="Times New Roman" w:cs="Calibri"/>
                      <w:color w:val="000000"/>
                      <w:lang w:eastAsia="en-GB"/>
                    </w:rPr>
                  </w:pPr>
                  <w:r>
                    <w:rPr>
                      <w:rFonts w:eastAsia="Times New Roman" w:cs="Calibri"/>
                      <w:color w:val="000000"/>
                      <w:lang w:eastAsia="en-GB"/>
                    </w:rPr>
                    <w:t>SNDC</w:t>
                  </w:r>
                </w:p>
              </w:tc>
              <w:tc>
                <w:tcPr>
                  <w:tcW w:w="2980" w:type="dxa"/>
                  <w:tcBorders/>
                  <w:shd w:color="auto" w:fill="auto" w:val="clear"/>
                  <w:vAlign w:val="bottom"/>
                </w:tcPr>
                <w:p>
                  <w:pPr>
                    <w:pStyle w:val="Normal"/>
                    <w:spacing w:lineRule="auto" w:line="240" w:before="0" w:after="0"/>
                    <w:rPr>
                      <w:rFonts w:ascii="Calibri" w:hAnsi="Calibri" w:eastAsia="Times New Roman" w:cs="Calibri"/>
                      <w:color w:val="000000"/>
                      <w:lang w:eastAsia="en-GB"/>
                    </w:rPr>
                  </w:pPr>
                  <w:r>
                    <w:rPr>
                      <w:rFonts w:eastAsia="Times New Roman" w:cs="Calibri"/>
                      <w:color w:val="000000"/>
                      <w:lang w:eastAsia="en-GB"/>
                    </w:rPr>
                    <w:t>REFUND OVERPAYMENT</w:t>
                  </w:r>
                </w:p>
              </w:tc>
              <w:tc>
                <w:tcPr>
                  <w:tcW w:w="2002" w:type="dxa"/>
                  <w:tcBorders/>
                  <w:shd w:color="auto" w:fill="auto" w:val="cle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t>£275.00</w:t>
                  </w:r>
                </w:p>
              </w:tc>
            </w:tr>
            <w:tr>
              <w:trPr>
                <w:trHeight w:val="288" w:hRule="atLeast"/>
              </w:trPr>
              <w:tc>
                <w:tcPr>
                  <w:tcW w:w="1298" w:type="dxa"/>
                  <w:tcBorders/>
                  <w:shd w:color="auto" w:fill="auto" w:val="cle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t>27/11/2018</w:t>
                  </w:r>
                </w:p>
              </w:tc>
              <w:tc>
                <w:tcPr>
                  <w:tcW w:w="1160" w:type="dxa"/>
                  <w:tcBorders/>
                  <w:shd w:color="auto" w:fill="auto" w:val="clear"/>
                  <w:vAlign w:val="bottom"/>
                </w:tcPr>
                <w:p>
                  <w:pPr>
                    <w:pStyle w:val="Normal"/>
                    <w:spacing w:lineRule="auto" w:line="240" w:before="0" w:after="0"/>
                    <w:jc w:val="center"/>
                    <w:rPr>
                      <w:rFonts w:ascii="Calibri" w:hAnsi="Calibri" w:eastAsia="Times New Roman" w:cs="Calibri"/>
                      <w:color w:val="000000"/>
                      <w:lang w:eastAsia="en-GB"/>
                    </w:rPr>
                  </w:pPr>
                  <w:r>
                    <w:rPr>
                      <w:rFonts w:eastAsia="Times New Roman" w:cs="Calibri"/>
                      <w:color w:val="000000"/>
                      <w:lang w:eastAsia="en-GB"/>
                    </w:rPr>
                    <w:t>101253</w:t>
                  </w:r>
                </w:p>
              </w:tc>
              <w:tc>
                <w:tcPr>
                  <w:tcW w:w="2420" w:type="dxa"/>
                  <w:tcBorders/>
                  <w:shd w:color="auto" w:fill="auto" w:val="clear"/>
                  <w:vAlign w:val="bottom"/>
                </w:tcPr>
                <w:p>
                  <w:pPr>
                    <w:pStyle w:val="Normal"/>
                    <w:spacing w:lineRule="auto" w:line="240" w:before="0" w:after="0"/>
                    <w:rPr>
                      <w:rFonts w:ascii="Calibri" w:hAnsi="Calibri" w:eastAsia="Times New Roman" w:cs="Calibri"/>
                      <w:color w:val="000000"/>
                      <w:lang w:eastAsia="en-GB"/>
                    </w:rPr>
                  </w:pPr>
                  <w:r>
                    <w:rPr>
                      <w:rFonts w:eastAsia="Times New Roman" w:cs="Calibri"/>
                      <w:color w:val="000000"/>
                      <w:lang w:eastAsia="en-GB"/>
                    </w:rPr>
                    <w:t>D GOLDSON</w:t>
                  </w:r>
                </w:p>
              </w:tc>
              <w:tc>
                <w:tcPr>
                  <w:tcW w:w="2980" w:type="dxa"/>
                  <w:tcBorders/>
                  <w:shd w:color="auto" w:fill="auto" w:val="clear"/>
                  <w:vAlign w:val="bottom"/>
                </w:tcPr>
                <w:p>
                  <w:pPr>
                    <w:pStyle w:val="Normal"/>
                    <w:spacing w:lineRule="auto" w:line="240" w:before="0" w:after="0"/>
                    <w:rPr>
                      <w:rFonts w:ascii="Calibri" w:hAnsi="Calibri" w:eastAsia="Times New Roman" w:cs="Calibri"/>
                      <w:color w:val="000000"/>
                      <w:lang w:eastAsia="en-GB"/>
                    </w:rPr>
                  </w:pPr>
                  <w:r>
                    <w:rPr>
                      <w:rFonts w:eastAsia="Times New Roman" w:cs="Calibri"/>
                      <w:color w:val="000000"/>
                      <w:lang w:eastAsia="en-GB"/>
                    </w:rPr>
                    <w:t>RBL WREATH</w:t>
                  </w:r>
                </w:p>
              </w:tc>
              <w:tc>
                <w:tcPr>
                  <w:tcW w:w="2002" w:type="dxa"/>
                  <w:tcBorders/>
                  <w:shd w:color="auto" w:fill="auto" w:val="cle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t>£17.00</w:t>
                  </w:r>
                </w:p>
              </w:tc>
            </w:tr>
            <w:tr>
              <w:trPr>
                <w:trHeight w:val="288" w:hRule="atLeast"/>
              </w:trPr>
              <w:tc>
                <w:tcPr>
                  <w:tcW w:w="1298" w:type="dxa"/>
                  <w:tcBorders/>
                  <w:shd w:color="auto" w:fill="auto" w:val="cle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t>27/11/2018</w:t>
                  </w:r>
                </w:p>
              </w:tc>
              <w:tc>
                <w:tcPr>
                  <w:tcW w:w="1160" w:type="dxa"/>
                  <w:tcBorders/>
                  <w:shd w:color="auto" w:fill="auto" w:val="clear"/>
                  <w:vAlign w:val="bottom"/>
                </w:tcPr>
                <w:p>
                  <w:pPr>
                    <w:pStyle w:val="Normal"/>
                    <w:spacing w:lineRule="auto" w:line="240" w:before="0" w:after="0"/>
                    <w:jc w:val="center"/>
                    <w:rPr>
                      <w:rFonts w:ascii="Calibri" w:hAnsi="Calibri" w:eastAsia="Times New Roman" w:cs="Calibri"/>
                      <w:color w:val="000000"/>
                      <w:lang w:eastAsia="en-GB"/>
                    </w:rPr>
                  </w:pPr>
                  <w:r>
                    <w:rPr>
                      <w:rFonts w:eastAsia="Times New Roman" w:cs="Calibri"/>
                      <w:color w:val="000000"/>
                      <w:lang w:eastAsia="en-GB"/>
                    </w:rPr>
                    <w:t>101254</w:t>
                  </w:r>
                </w:p>
              </w:tc>
              <w:tc>
                <w:tcPr>
                  <w:tcW w:w="2420" w:type="dxa"/>
                  <w:tcBorders/>
                  <w:shd w:color="auto" w:fill="auto" w:val="clear"/>
                  <w:vAlign w:val="bottom"/>
                </w:tcPr>
                <w:p>
                  <w:pPr>
                    <w:pStyle w:val="Normal"/>
                    <w:spacing w:lineRule="auto" w:line="240" w:before="0" w:after="0"/>
                    <w:rPr>
                      <w:rFonts w:ascii="Calibri" w:hAnsi="Calibri" w:eastAsia="Times New Roman" w:cs="Calibri"/>
                      <w:color w:val="000000"/>
                      <w:lang w:eastAsia="en-GB"/>
                    </w:rPr>
                  </w:pPr>
                  <w:r>
                    <w:rPr>
                      <w:rFonts w:eastAsia="Times New Roman" w:cs="Calibri"/>
                      <w:color w:val="000000"/>
                      <w:lang w:eastAsia="en-GB"/>
                    </w:rPr>
                    <w:t>ROYDON VH MAN COM</w:t>
                  </w:r>
                </w:p>
              </w:tc>
              <w:tc>
                <w:tcPr>
                  <w:tcW w:w="2980" w:type="dxa"/>
                  <w:tcBorders/>
                  <w:shd w:color="auto" w:fill="auto" w:val="clear"/>
                  <w:vAlign w:val="bottom"/>
                </w:tcPr>
                <w:p>
                  <w:pPr>
                    <w:pStyle w:val="Normal"/>
                    <w:spacing w:lineRule="auto" w:line="240" w:before="0" w:after="0"/>
                    <w:rPr/>
                  </w:pPr>
                  <w:r>
                    <w:rPr>
                      <w:rFonts w:eastAsia="Times New Roman" w:cs="Calibri"/>
                      <w:color w:val="000000"/>
                      <w:lang w:eastAsia="en-GB"/>
                    </w:rPr>
                    <w:t>BUILDINGS INSURANCE</w:t>
                  </w:r>
                </w:p>
              </w:tc>
              <w:tc>
                <w:tcPr>
                  <w:tcW w:w="2002" w:type="dxa"/>
                  <w:tcBorders/>
                  <w:shd w:color="auto" w:fill="auto" w:val="cle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t>£988.91</w:t>
                  </w:r>
                </w:p>
              </w:tc>
            </w:tr>
            <w:tr>
              <w:trPr>
                <w:trHeight w:val="288" w:hRule="atLeast"/>
              </w:trPr>
              <w:tc>
                <w:tcPr>
                  <w:tcW w:w="1298" w:type="dxa"/>
                  <w:tcBorders/>
                  <w:shd w:color="auto" w:fill="auto" w:val="cle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t>27/11/2018</w:t>
                  </w:r>
                </w:p>
              </w:tc>
              <w:tc>
                <w:tcPr>
                  <w:tcW w:w="1160" w:type="dxa"/>
                  <w:tcBorders/>
                  <w:shd w:color="auto" w:fill="auto" w:val="clear"/>
                  <w:vAlign w:val="bottom"/>
                </w:tcPr>
                <w:p>
                  <w:pPr>
                    <w:pStyle w:val="Normal"/>
                    <w:spacing w:lineRule="auto" w:line="240" w:before="0" w:after="0"/>
                    <w:jc w:val="center"/>
                    <w:rPr>
                      <w:rFonts w:ascii="Calibri" w:hAnsi="Calibri" w:eastAsia="Times New Roman" w:cs="Calibri"/>
                      <w:color w:val="000000"/>
                      <w:lang w:eastAsia="en-GB"/>
                    </w:rPr>
                  </w:pPr>
                  <w:r>
                    <w:rPr>
                      <w:rFonts w:eastAsia="Times New Roman" w:cs="Calibri"/>
                      <w:color w:val="000000"/>
                      <w:lang w:eastAsia="en-GB"/>
                    </w:rPr>
                    <w:t>101255</w:t>
                  </w:r>
                </w:p>
              </w:tc>
              <w:tc>
                <w:tcPr>
                  <w:tcW w:w="2420" w:type="dxa"/>
                  <w:tcBorders/>
                  <w:shd w:color="auto" w:fill="auto" w:val="clear"/>
                  <w:vAlign w:val="bottom"/>
                </w:tcPr>
                <w:p>
                  <w:pPr>
                    <w:pStyle w:val="Normal"/>
                    <w:spacing w:lineRule="auto" w:line="240" w:before="0" w:after="0"/>
                    <w:rPr>
                      <w:rFonts w:ascii="Calibri" w:hAnsi="Calibri" w:eastAsia="Times New Roman" w:cs="Calibri"/>
                      <w:color w:val="000000"/>
                      <w:lang w:eastAsia="en-GB"/>
                    </w:rPr>
                  </w:pPr>
                  <w:r>
                    <w:rPr>
                      <w:rFonts w:eastAsia="Times New Roman" w:cs="Calibri"/>
                      <w:color w:val="000000"/>
                      <w:lang w:eastAsia="en-GB"/>
                    </w:rPr>
                    <w:t>J BURTON</w:t>
                  </w:r>
                </w:p>
              </w:tc>
              <w:tc>
                <w:tcPr>
                  <w:tcW w:w="2980" w:type="dxa"/>
                  <w:tcBorders/>
                  <w:shd w:color="auto" w:fill="auto" w:val="clear"/>
                  <w:vAlign w:val="bottom"/>
                </w:tcPr>
                <w:p>
                  <w:pPr>
                    <w:pStyle w:val="Normal"/>
                    <w:spacing w:lineRule="auto" w:line="240" w:before="0" w:after="0"/>
                    <w:rPr>
                      <w:rFonts w:ascii="Calibri" w:hAnsi="Calibri" w:eastAsia="Times New Roman" w:cs="Calibri"/>
                      <w:color w:val="000000"/>
                      <w:lang w:eastAsia="en-GB"/>
                    </w:rPr>
                  </w:pPr>
                  <w:r>
                    <w:rPr>
                      <w:rFonts w:eastAsia="Times New Roman" w:cs="Calibri"/>
                      <w:color w:val="000000"/>
                      <w:lang w:eastAsia="en-GB"/>
                    </w:rPr>
                    <w:t>NOVEMBER SALARY</w:t>
                  </w:r>
                </w:p>
              </w:tc>
              <w:tc>
                <w:tcPr>
                  <w:tcW w:w="2002" w:type="dxa"/>
                  <w:tcBorders/>
                  <w:shd w:color="auto" w:fill="auto" w:val="cle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t>£303.99</w:t>
                  </w:r>
                </w:p>
              </w:tc>
            </w:tr>
            <w:tr>
              <w:trPr>
                <w:trHeight w:val="288" w:hRule="atLeast"/>
              </w:trPr>
              <w:tc>
                <w:tcPr>
                  <w:tcW w:w="1298" w:type="dxa"/>
                  <w:tcBorders/>
                  <w:shd w:color="auto" w:fill="auto" w:val="cle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t>27/11/2019</w:t>
                  </w:r>
                </w:p>
              </w:tc>
              <w:tc>
                <w:tcPr>
                  <w:tcW w:w="1160" w:type="dxa"/>
                  <w:tcBorders/>
                  <w:shd w:color="auto" w:fill="auto" w:val="clear"/>
                  <w:vAlign w:val="bottom"/>
                </w:tcPr>
                <w:p>
                  <w:pPr>
                    <w:pStyle w:val="Normal"/>
                    <w:spacing w:lineRule="auto" w:line="240" w:before="0" w:after="0"/>
                    <w:jc w:val="center"/>
                    <w:rPr>
                      <w:rFonts w:ascii="Calibri" w:hAnsi="Calibri" w:eastAsia="Times New Roman" w:cs="Calibri"/>
                      <w:color w:val="000000"/>
                      <w:lang w:eastAsia="en-GB"/>
                    </w:rPr>
                  </w:pPr>
                  <w:r>
                    <w:rPr>
                      <w:rFonts w:eastAsia="Times New Roman" w:cs="Calibri"/>
                      <w:color w:val="000000"/>
                      <w:lang w:eastAsia="en-GB"/>
                    </w:rPr>
                    <w:t>101256</w:t>
                  </w:r>
                </w:p>
              </w:tc>
              <w:tc>
                <w:tcPr>
                  <w:tcW w:w="2420" w:type="dxa"/>
                  <w:tcBorders/>
                  <w:shd w:color="auto" w:fill="auto" w:val="clear"/>
                  <w:vAlign w:val="bottom"/>
                </w:tcPr>
                <w:p>
                  <w:pPr>
                    <w:pStyle w:val="Normal"/>
                    <w:spacing w:lineRule="auto" w:line="240" w:before="0" w:after="0"/>
                    <w:rPr>
                      <w:rFonts w:ascii="Calibri" w:hAnsi="Calibri" w:eastAsia="Times New Roman" w:cs="Calibri"/>
                      <w:color w:val="000000"/>
                      <w:lang w:eastAsia="en-GB"/>
                    </w:rPr>
                  </w:pPr>
                  <w:r>
                    <w:rPr>
                      <w:rFonts w:eastAsia="Times New Roman" w:cs="Calibri"/>
                      <w:color w:val="000000"/>
                      <w:lang w:eastAsia="en-GB"/>
                    </w:rPr>
                    <w:t>X</w:t>
                  </w:r>
                </w:p>
              </w:tc>
              <w:tc>
                <w:tcPr>
                  <w:tcW w:w="2980" w:type="dxa"/>
                  <w:tcBorders/>
                  <w:shd w:color="auto" w:fill="auto" w:val="clear"/>
                  <w:vAlign w:val="bottom"/>
                </w:tcPr>
                <w:p>
                  <w:pPr>
                    <w:pStyle w:val="Normal"/>
                    <w:spacing w:lineRule="auto" w:line="240" w:before="0" w:after="0"/>
                    <w:rPr>
                      <w:rFonts w:ascii="Calibri" w:hAnsi="Calibri" w:eastAsia="Times New Roman" w:cs="Calibri"/>
                      <w:color w:val="000000"/>
                      <w:lang w:eastAsia="en-GB"/>
                    </w:rPr>
                  </w:pPr>
                  <w:r>
                    <w:rPr>
                      <w:rFonts w:eastAsia="Times New Roman" w:cs="Calibri"/>
                      <w:color w:val="000000"/>
                      <w:lang w:eastAsia="en-GB"/>
                    </w:rPr>
                    <w:t xml:space="preserve">CANCELLED CHEQUE </w:t>
                  </w:r>
                </w:p>
              </w:tc>
              <w:tc>
                <w:tcPr>
                  <w:tcW w:w="2002" w:type="dxa"/>
                  <w:tcBorders/>
                  <w:shd w:color="auto" w:fill="auto" w:val="cle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t>£0.00</w:t>
                  </w:r>
                </w:p>
              </w:tc>
            </w:tr>
            <w:tr>
              <w:trPr>
                <w:trHeight w:val="288" w:hRule="atLeast"/>
              </w:trPr>
              <w:tc>
                <w:tcPr>
                  <w:tcW w:w="1298" w:type="dxa"/>
                  <w:tcBorders/>
                  <w:shd w:color="auto" w:fill="auto" w:val="cle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t>27/11/2018</w:t>
                  </w:r>
                </w:p>
              </w:tc>
              <w:tc>
                <w:tcPr>
                  <w:tcW w:w="1160" w:type="dxa"/>
                  <w:tcBorders/>
                  <w:shd w:color="auto" w:fill="auto" w:val="clear"/>
                  <w:vAlign w:val="bottom"/>
                </w:tcPr>
                <w:p>
                  <w:pPr>
                    <w:pStyle w:val="Normal"/>
                    <w:spacing w:lineRule="auto" w:line="240" w:before="0" w:after="0"/>
                    <w:jc w:val="center"/>
                    <w:rPr>
                      <w:rFonts w:ascii="Calibri" w:hAnsi="Calibri" w:eastAsia="Times New Roman" w:cs="Calibri"/>
                      <w:color w:val="000000"/>
                      <w:lang w:eastAsia="en-GB"/>
                    </w:rPr>
                  </w:pPr>
                  <w:r>
                    <w:rPr>
                      <w:rFonts w:eastAsia="Times New Roman" w:cs="Calibri"/>
                      <w:color w:val="000000"/>
                      <w:lang w:eastAsia="en-GB"/>
                    </w:rPr>
                    <w:t>101257</w:t>
                  </w:r>
                </w:p>
              </w:tc>
              <w:tc>
                <w:tcPr>
                  <w:tcW w:w="2420" w:type="dxa"/>
                  <w:tcBorders/>
                  <w:shd w:color="auto" w:fill="auto" w:val="clear"/>
                  <w:vAlign w:val="bottom"/>
                </w:tcPr>
                <w:p>
                  <w:pPr>
                    <w:pStyle w:val="Normal"/>
                    <w:spacing w:lineRule="auto" w:line="240" w:before="0" w:after="0"/>
                    <w:rPr>
                      <w:rFonts w:ascii="Calibri" w:hAnsi="Calibri" w:eastAsia="Times New Roman" w:cs="Calibri"/>
                      <w:color w:val="000000"/>
                      <w:lang w:eastAsia="en-GB"/>
                    </w:rPr>
                  </w:pPr>
                  <w:r>
                    <w:rPr>
                      <w:rFonts w:eastAsia="Times New Roman" w:cs="Calibri"/>
                      <w:color w:val="000000"/>
                      <w:lang w:eastAsia="en-GB"/>
                    </w:rPr>
                    <w:t>HMRC</w:t>
                  </w:r>
                </w:p>
              </w:tc>
              <w:tc>
                <w:tcPr>
                  <w:tcW w:w="2980" w:type="dxa"/>
                  <w:tcBorders/>
                  <w:shd w:color="auto" w:fill="auto" w:val="clear"/>
                  <w:vAlign w:val="bottom"/>
                </w:tcPr>
                <w:p>
                  <w:pPr>
                    <w:pStyle w:val="Normal"/>
                    <w:spacing w:lineRule="auto" w:line="240" w:before="0" w:after="0"/>
                    <w:rPr>
                      <w:rFonts w:ascii="Calibri" w:hAnsi="Calibri" w:eastAsia="Times New Roman" w:cs="Calibri"/>
                      <w:color w:val="000000"/>
                      <w:lang w:eastAsia="en-GB"/>
                    </w:rPr>
                  </w:pPr>
                  <w:r>
                    <w:rPr>
                      <w:rFonts w:eastAsia="Times New Roman" w:cs="Calibri"/>
                      <w:color w:val="000000"/>
                      <w:lang w:eastAsia="en-GB"/>
                    </w:rPr>
                    <w:t>PAYE - NOVEMBER SALARY</w:t>
                  </w:r>
                </w:p>
              </w:tc>
              <w:tc>
                <w:tcPr>
                  <w:tcW w:w="2002" w:type="dxa"/>
                  <w:tcBorders/>
                  <w:shd w:color="auto" w:fill="auto" w:val="cle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t>£76.00</w:t>
                  </w:r>
                </w:p>
              </w:tc>
            </w:tr>
          </w:tbl>
          <w:p>
            <w:pPr>
              <w:pStyle w:val="Normal"/>
              <w:rPr>
                <w:b/>
                <w:b/>
                <w:sz w:val="28"/>
                <w:szCs w:val="28"/>
              </w:rPr>
            </w:pPr>
            <w:r>
              <w:rPr>
                <w:b/>
                <w:sz w:val="28"/>
                <w:szCs w:val="28"/>
              </w:rPr>
            </w:r>
          </w:p>
          <w:p>
            <w:pPr>
              <w:pStyle w:val="Normal"/>
              <w:rPr>
                <w:b/>
                <w:b/>
                <w:sz w:val="28"/>
                <w:szCs w:val="28"/>
              </w:rPr>
            </w:pPr>
            <w:r>
              <w:rPr>
                <w:b/>
                <w:sz w:val="28"/>
                <w:szCs w:val="28"/>
              </w:rPr>
              <w:t xml:space="preserve">Budget </w:t>
            </w:r>
          </w:p>
          <w:tbl>
            <w:tblPr>
              <w:tblW w:w="9525" w:type="dxa"/>
              <w:jc w:val="left"/>
              <w:tblInd w:w="0" w:type="dxa"/>
              <w:tblBorders>
                <w:top w:val="single" w:sz="4" w:space="0" w:color="00000A"/>
                <w:left w:val="single" w:sz="4" w:space="0" w:color="00000A"/>
                <w:bottom w:val="single" w:sz="4" w:space="0" w:color="00000A"/>
                <w:right w:val="single" w:sz="4" w:space="0" w:color="000001"/>
                <w:insideH w:val="single" w:sz="4" w:space="0" w:color="00000A"/>
                <w:insideV w:val="single" w:sz="4" w:space="0" w:color="000001"/>
              </w:tblBorders>
              <w:tblCellMar>
                <w:top w:w="0" w:type="dxa"/>
                <w:left w:w="98" w:type="dxa"/>
                <w:bottom w:w="0" w:type="dxa"/>
                <w:right w:w="108" w:type="dxa"/>
              </w:tblCellMar>
              <w:tblLook w:firstRow="1" w:noVBand="1" w:lastRow="0" w:firstColumn="1" w:lastColumn="0" w:noHBand="0" w:val="04a0"/>
            </w:tblPr>
            <w:tblGrid>
              <w:gridCol w:w="1529"/>
              <w:gridCol w:w="1305"/>
              <w:gridCol w:w="225"/>
              <w:gridCol w:w="1650"/>
              <w:gridCol w:w="224"/>
              <w:gridCol w:w="1590"/>
              <w:gridCol w:w="285"/>
              <w:gridCol w:w="1470"/>
              <w:gridCol w:w="1246"/>
            </w:tblGrid>
            <w:tr>
              <w:trPr>
                <w:trHeight w:val="360" w:hRule="atLeast"/>
              </w:trPr>
              <w:tc>
                <w:tcPr>
                  <w:tcW w:w="9524" w:type="dxa"/>
                  <w:gridSpan w:val="9"/>
                  <w:tcBorders>
                    <w:top w:val="single" w:sz="4" w:space="0" w:color="00000A"/>
                    <w:left w:val="single" w:sz="4" w:space="0" w:color="00000A"/>
                    <w:bottom w:val="single" w:sz="4" w:space="0" w:color="00000A"/>
                    <w:right w:val="single" w:sz="4" w:space="0" w:color="000001"/>
                    <w:insideH w:val="single" w:sz="4" w:space="0" w:color="00000A"/>
                    <w:insideV w:val="single" w:sz="4" w:space="0" w:color="000001"/>
                  </w:tcBorders>
                  <w:shd w:color="000000" w:fill="B4C6E7" w:val="clear"/>
                  <w:tcMar>
                    <w:left w:w="98" w:type="dxa"/>
                  </w:tcMar>
                  <w:vAlign w:val="bottom"/>
                </w:tcPr>
                <w:p>
                  <w:pPr>
                    <w:pStyle w:val="Normal"/>
                    <w:spacing w:lineRule="auto" w:line="240" w:before="0" w:after="0"/>
                    <w:jc w:val="center"/>
                    <w:rPr>
                      <w:rFonts w:ascii="Calibri" w:hAnsi="Calibri" w:eastAsia="Times New Roman" w:cs="Calibri"/>
                      <w:b/>
                      <w:b/>
                      <w:bCs/>
                      <w:color w:val="000000"/>
                      <w:sz w:val="28"/>
                      <w:szCs w:val="28"/>
                      <w:lang w:eastAsia="en-GB"/>
                    </w:rPr>
                  </w:pPr>
                  <w:r>
                    <w:rPr>
                      <w:rFonts w:eastAsia="Times New Roman" w:cs="Calibri"/>
                      <w:b/>
                      <w:bCs/>
                      <w:color w:val="000000"/>
                      <w:sz w:val="18"/>
                      <w:szCs w:val="18"/>
                      <w:lang w:eastAsia="en-GB"/>
                    </w:rPr>
                    <w:t>2018 to 2019</w:t>
                  </w:r>
                </w:p>
              </w:tc>
            </w:tr>
            <w:tr>
              <w:trPr>
                <w:trHeight w:val="288" w:hRule="atLeast"/>
              </w:trPr>
              <w:tc>
                <w:tcPr>
                  <w:tcW w:w="2834" w:type="dxa"/>
                  <w:gridSpan w:val="2"/>
                  <w:tcBorders>
                    <w:top w:val="single" w:sz="4" w:space="0" w:color="00000A"/>
                    <w:left w:val="single" w:sz="4" w:space="0" w:color="00000A"/>
                    <w:bottom w:val="single" w:sz="4" w:space="0" w:color="00000A"/>
                    <w:right w:val="single" w:sz="4" w:space="0" w:color="000001"/>
                    <w:insideH w:val="single" w:sz="4" w:space="0" w:color="00000A"/>
                    <w:insideV w:val="single" w:sz="4" w:space="0" w:color="000001"/>
                  </w:tcBorders>
                  <w:shd w:color="000000" w:fill="FFFF00" w:val="clear"/>
                  <w:tcMar>
                    <w:left w:w="98" w:type="dxa"/>
                  </w:tcMar>
                  <w:vAlign w:val="bottom"/>
                </w:tcPr>
                <w:p>
                  <w:pPr>
                    <w:pStyle w:val="Normal"/>
                    <w:spacing w:lineRule="auto" w:line="240" w:before="0" w:after="0"/>
                    <w:jc w:val="center"/>
                    <w:rPr>
                      <w:rFonts w:ascii="Calibri" w:hAnsi="Calibri" w:eastAsia="Times New Roman" w:cs="Calibri"/>
                      <w:b/>
                      <w:b/>
                      <w:bCs/>
                      <w:color w:val="000000"/>
                      <w:lang w:eastAsia="en-GB"/>
                    </w:rPr>
                  </w:pPr>
                  <w:r>
                    <w:rPr>
                      <w:rFonts w:eastAsia="Times New Roman" w:cs="Calibri"/>
                      <w:b/>
                      <w:bCs/>
                      <w:color w:val="000000"/>
                      <w:sz w:val="18"/>
                      <w:szCs w:val="18"/>
                      <w:lang w:eastAsia="en-GB"/>
                    </w:rPr>
                    <w:t>ACTUAL SPEND</w:t>
                  </w:r>
                </w:p>
              </w:tc>
              <w:tc>
                <w:tcPr>
                  <w:tcW w:w="225"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jc w:val="center"/>
                    <w:rPr>
                      <w:rFonts w:ascii="Calibri" w:hAnsi="Calibri" w:eastAsia="Times New Roman" w:cs="Calibri"/>
                      <w:b/>
                      <w:b/>
                      <w:bCs/>
                      <w:color w:val="000000"/>
                      <w:sz w:val="18"/>
                      <w:szCs w:val="18"/>
                      <w:lang w:eastAsia="en-GB"/>
                    </w:rPr>
                  </w:pPr>
                  <w:r>
                    <w:rPr>
                      <w:rFonts w:eastAsia="Times New Roman" w:cs="Calibri"/>
                      <w:b/>
                      <w:bCs/>
                      <w:color w:val="000000"/>
                      <w:sz w:val="18"/>
                      <w:szCs w:val="18"/>
                      <w:lang w:eastAsia="en-GB"/>
                    </w:rPr>
                  </w:r>
                </w:p>
              </w:tc>
              <w:tc>
                <w:tcPr>
                  <w:tcW w:w="16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000000" w:fill="E2EFDA" w:val="clear"/>
                  <w:tcMar>
                    <w:left w:w="98" w:type="dxa"/>
                  </w:tcMar>
                  <w:vAlign w:val="bottom"/>
                </w:tcPr>
                <w:p>
                  <w:pPr>
                    <w:pStyle w:val="Normal"/>
                    <w:spacing w:lineRule="auto" w:line="240" w:before="0" w:after="0"/>
                    <w:jc w:val="center"/>
                    <w:rPr>
                      <w:rFonts w:ascii="Calibri" w:hAnsi="Calibri" w:eastAsia="Times New Roman" w:cs="Calibri"/>
                      <w:b/>
                      <w:b/>
                      <w:bCs/>
                      <w:color w:val="000000"/>
                      <w:lang w:eastAsia="en-GB"/>
                    </w:rPr>
                  </w:pPr>
                  <w:r>
                    <w:rPr>
                      <w:rFonts w:eastAsia="Times New Roman" w:cs="Calibri"/>
                      <w:b/>
                      <w:bCs/>
                      <w:color w:val="000000"/>
                      <w:sz w:val="18"/>
                      <w:szCs w:val="18"/>
                      <w:lang w:eastAsia="en-GB"/>
                    </w:rPr>
                    <w:t>ANTICIPATED SPEND</w:t>
                  </w:r>
                </w:p>
              </w:tc>
              <w:tc>
                <w:tcPr>
                  <w:tcW w:w="224"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jc w:val="center"/>
                    <w:rPr>
                      <w:rFonts w:ascii="Calibri" w:hAnsi="Calibri" w:eastAsia="Times New Roman" w:cs="Calibri"/>
                      <w:b/>
                      <w:b/>
                      <w:bCs/>
                      <w:color w:val="000000"/>
                      <w:sz w:val="18"/>
                      <w:szCs w:val="18"/>
                      <w:lang w:eastAsia="en-GB"/>
                    </w:rPr>
                  </w:pPr>
                  <w:r>
                    <w:rPr>
                      <w:rFonts w:eastAsia="Times New Roman" w:cs="Calibri"/>
                      <w:b/>
                      <w:bCs/>
                      <w:color w:val="000000"/>
                      <w:sz w:val="18"/>
                      <w:szCs w:val="18"/>
                      <w:lang w:eastAsia="en-GB"/>
                    </w:rPr>
                  </w:r>
                </w:p>
              </w:tc>
              <w:tc>
                <w:tcPr>
                  <w:tcW w:w="159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000000" w:fill="FFE699" w:val="clear"/>
                  <w:tcMar>
                    <w:left w:w="98" w:type="dxa"/>
                  </w:tcMar>
                  <w:vAlign w:val="bottom"/>
                </w:tcPr>
                <w:p>
                  <w:pPr>
                    <w:pStyle w:val="Normal"/>
                    <w:spacing w:lineRule="auto" w:line="240" w:before="0" w:after="0"/>
                    <w:jc w:val="center"/>
                    <w:rPr>
                      <w:rFonts w:ascii="Calibri" w:hAnsi="Calibri" w:eastAsia="Times New Roman" w:cs="Calibri"/>
                      <w:b/>
                      <w:b/>
                      <w:bCs/>
                      <w:color w:val="000000"/>
                      <w:lang w:eastAsia="en-GB"/>
                    </w:rPr>
                  </w:pPr>
                  <w:r>
                    <w:rPr>
                      <w:rFonts w:eastAsia="Times New Roman" w:cs="Calibri"/>
                      <w:b/>
                      <w:bCs/>
                      <w:color w:val="000000"/>
                      <w:sz w:val="18"/>
                      <w:szCs w:val="18"/>
                      <w:lang w:eastAsia="en-GB"/>
                    </w:rPr>
                    <w:t>TOTAL SPEND 2018-19</w:t>
                  </w:r>
                </w:p>
              </w:tc>
              <w:tc>
                <w:tcPr>
                  <w:tcW w:w="285"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jc w:val="center"/>
                    <w:rPr>
                      <w:rFonts w:ascii="Calibri" w:hAnsi="Calibri" w:eastAsia="Times New Roman" w:cs="Calibri"/>
                      <w:b/>
                      <w:b/>
                      <w:bCs/>
                      <w:color w:val="000000"/>
                      <w:sz w:val="18"/>
                      <w:szCs w:val="18"/>
                      <w:lang w:eastAsia="en-GB"/>
                    </w:rPr>
                  </w:pPr>
                  <w:r>
                    <w:rPr>
                      <w:rFonts w:eastAsia="Times New Roman" w:cs="Calibri"/>
                      <w:b/>
                      <w:bCs/>
                      <w:color w:val="000000"/>
                      <w:sz w:val="18"/>
                      <w:szCs w:val="18"/>
                      <w:lang w:eastAsia="en-GB"/>
                    </w:rPr>
                  </w:r>
                </w:p>
              </w:tc>
              <w:tc>
                <w:tcPr>
                  <w:tcW w:w="2716" w:type="dxa"/>
                  <w:gridSpan w:val="2"/>
                  <w:tcBorders>
                    <w:top w:val="single" w:sz="4" w:space="0" w:color="00000A"/>
                    <w:left w:val="single" w:sz="4" w:space="0" w:color="00000A"/>
                    <w:bottom w:val="single" w:sz="4" w:space="0" w:color="00000A"/>
                    <w:right w:val="single" w:sz="4" w:space="0" w:color="000001"/>
                    <w:insideH w:val="single" w:sz="4" w:space="0" w:color="00000A"/>
                    <w:insideV w:val="single" w:sz="4" w:space="0" w:color="000001"/>
                  </w:tcBorders>
                  <w:shd w:color="000000" w:fill="D9E1F2" w:val="clear"/>
                  <w:tcMar>
                    <w:left w:w="98" w:type="dxa"/>
                  </w:tcMar>
                  <w:vAlign w:val="bottom"/>
                </w:tcPr>
                <w:p>
                  <w:pPr>
                    <w:pStyle w:val="Normal"/>
                    <w:spacing w:lineRule="auto" w:line="240" w:before="0" w:after="0"/>
                    <w:jc w:val="center"/>
                    <w:rPr>
                      <w:rFonts w:ascii="Calibri" w:hAnsi="Calibri" w:eastAsia="Times New Roman" w:cs="Calibri"/>
                      <w:b/>
                      <w:b/>
                      <w:bCs/>
                      <w:color w:val="000000"/>
                      <w:lang w:eastAsia="en-GB"/>
                    </w:rPr>
                  </w:pPr>
                  <w:r>
                    <w:rPr>
                      <w:rFonts w:eastAsia="Times New Roman" w:cs="Calibri"/>
                      <w:b/>
                      <w:bCs/>
                      <w:color w:val="000000"/>
                      <w:sz w:val="18"/>
                      <w:szCs w:val="18"/>
                      <w:lang w:eastAsia="en-GB"/>
                    </w:rPr>
                    <w:t xml:space="preserve"> </w:t>
                  </w:r>
                  <w:r>
                    <w:rPr>
                      <w:rFonts w:eastAsia="Times New Roman" w:cs="Calibri"/>
                      <w:b/>
                      <w:bCs/>
                      <w:color w:val="000000"/>
                      <w:sz w:val="18"/>
                      <w:szCs w:val="18"/>
                      <w:lang w:eastAsia="en-GB"/>
                    </w:rPr>
                    <w:t>BUDGET 2018-19</w:t>
                  </w:r>
                </w:p>
              </w:tc>
            </w:tr>
            <w:tr>
              <w:trPr>
                <w:trHeight w:val="288" w:hRule="atLeast"/>
              </w:trPr>
              <w:tc>
                <w:tcPr>
                  <w:tcW w:w="1529" w:type="dxa"/>
                  <w:tcBorders>
                    <w:top w:val="single" w:sz="4" w:space="0" w:color="00000A"/>
                    <w:left w:val="single" w:sz="4" w:space="0" w:color="00000A"/>
                    <w:bottom w:val="single" w:sz="4" w:space="0" w:color="00000A"/>
                    <w:right w:val="single" w:sz="4" w:space="0" w:color="000001"/>
                    <w:insideH w:val="single" w:sz="4" w:space="0" w:color="00000A"/>
                    <w:insideV w:val="single" w:sz="4" w:space="0" w:color="000001"/>
                  </w:tcBorders>
                  <w:shd w:color="auto" w:fill="auto" w:val="clear"/>
                  <w:tcMar>
                    <w:left w:w="98" w:type="dxa"/>
                  </w:tcMar>
                  <w:vAlign w:val="center"/>
                </w:tcPr>
                <w:p>
                  <w:pPr>
                    <w:pStyle w:val="Normal"/>
                    <w:spacing w:lineRule="auto" w:line="240" w:before="0" w:after="0"/>
                    <w:rPr>
                      <w:sz w:val="18"/>
                      <w:szCs w:val="18"/>
                    </w:rPr>
                  </w:pPr>
                  <w:r>
                    <w:rPr>
                      <w:rFonts w:eastAsia="Times New Roman" w:cs="Calibri"/>
                      <w:color w:val="000000"/>
                      <w:sz w:val="18"/>
                      <w:szCs w:val="18"/>
                      <w:lang w:eastAsia="en-GB"/>
                    </w:rPr>
                    <w:t>grounds maint.</w:t>
                  </w:r>
                </w:p>
              </w:tc>
              <w:tc>
                <w:tcPr>
                  <w:tcW w:w="13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sz w:val="18"/>
                      <w:szCs w:val="18"/>
                      <w:lang w:eastAsia="en-GB"/>
                    </w:rPr>
                    <w:t>£2,974.96</w:t>
                  </w:r>
                </w:p>
              </w:tc>
              <w:tc>
                <w:tcPr>
                  <w:tcW w:w="225"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sz w:val="18"/>
                      <w:szCs w:val="18"/>
                      <w:lang w:eastAsia="en-GB"/>
                    </w:rPr>
                  </w:pPr>
                  <w:r>
                    <w:rPr>
                      <w:rFonts w:eastAsia="Times New Roman" w:cs="Calibri"/>
                      <w:color w:val="000000"/>
                      <w:sz w:val="18"/>
                      <w:szCs w:val="18"/>
                      <w:lang w:eastAsia="en-GB"/>
                    </w:rPr>
                  </w:r>
                </w:p>
              </w:tc>
              <w:tc>
                <w:tcPr>
                  <w:tcW w:w="16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sz w:val="18"/>
                      <w:szCs w:val="18"/>
                      <w:lang w:eastAsia="en-GB"/>
                    </w:rPr>
                    <w:t>£250.00</w:t>
                  </w:r>
                </w:p>
              </w:tc>
              <w:tc>
                <w:tcPr>
                  <w:tcW w:w="224"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sz w:val="18"/>
                      <w:szCs w:val="18"/>
                      <w:lang w:eastAsia="en-GB"/>
                    </w:rPr>
                  </w:pPr>
                  <w:r>
                    <w:rPr>
                      <w:rFonts w:eastAsia="Times New Roman" w:cs="Calibri"/>
                      <w:color w:val="000000"/>
                      <w:sz w:val="18"/>
                      <w:szCs w:val="18"/>
                      <w:lang w:eastAsia="en-GB"/>
                    </w:rPr>
                  </w:r>
                </w:p>
              </w:tc>
              <w:tc>
                <w:tcPr>
                  <w:tcW w:w="159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sz w:val="18"/>
                      <w:szCs w:val="18"/>
                      <w:lang w:eastAsia="en-GB"/>
                    </w:rPr>
                    <w:t>£3,224.96</w:t>
                  </w:r>
                </w:p>
              </w:tc>
              <w:tc>
                <w:tcPr>
                  <w:tcW w:w="285"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sz w:val="18"/>
                      <w:szCs w:val="18"/>
                      <w:lang w:eastAsia="en-GB"/>
                    </w:rPr>
                  </w:pPr>
                  <w:r>
                    <w:rPr>
                      <w:rFonts w:eastAsia="Times New Roman" w:cs="Calibri"/>
                      <w:color w:val="000000"/>
                      <w:sz w:val="18"/>
                      <w:szCs w:val="18"/>
                      <w:lang w:eastAsia="en-GB"/>
                    </w:rPr>
                  </w:r>
                </w:p>
              </w:tc>
              <w:tc>
                <w:tcPr>
                  <w:tcW w:w="1470" w:type="dxa"/>
                  <w:tcBorders>
                    <w:top w:val="single" w:sz="4" w:space="0" w:color="00000A"/>
                    <w:left w:val="single" w:sz="4" w:space="0" w:color="00000A"/>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rPr>
                      <w:rFonts w:ascii="Calibri" w:hAnsi="Calibri" w:eastAsia="Times New Roman" w:cs="Calibri"/>
                      <w:color w:val="000000"/>
                      <w:lang w:eastAsia="en-GB"/>
                    </w:rPr>
                  </w:pPr>
                  <w:r>
                    <w:rPr>
                      <w:rFonts w:eastAsia="Times New Roman" w:cs="Calibri"/>
                      <w:color w:val="000000"/>
                      <w:sz w:val="18"/>
                      <w:szCs w:val="18"/>
                      <w:lang w:eastAsia="en-GB"/>
                    </w:rPr>
                    <w:t>grds maint</w:t>
                  </w:r>
                </w:p>
              </w:tc>
              <w:tc>
                <w:tcPr>
                  <w:tcW w:w="124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sz w:val="18"/>
                      <w:szCs w:val="18"/>
                      <w:lang w:eastAsia="en-GB"/>
                    </w:rPr>
                    <w:t>£5,500.00</w:t>
                  </w:r>
                </w:p>
              </w:tc>
            </w:tr>
            <w:tr>
              <w:trPr>
                <w:trHeight w:val="576" w:hRule="atLeast"/>
              </w:trPr>
              <w:tc>
                <w:tcPr>
                  <w:tcW w:w="1529" w:type="dxa"/>
                  <w:tcBorders>
                    <w:top w:val="single" w:sz="4" w:space="0" w:color="00000A"/>
                    <w:left w:val="single" w:sz="4" w:space="0" w:color="00000A"/>
                    <w:bottom w:val="single" w:sz="4" w:space="0" w:color="00000A"/>
                    <w:right w:val="single" w:sz="4" w:space="0" w:color="000001"/>
                    <w:insideH w:val="single" w:sz="4" w:space="0" w:color="00000A"/>
                    <w:insideV w:val="single" w:sz="4" w:space="0" w:color="000001"/>
                  </w:tcBorders>
                  <w:shd w:color="auto" w:fill="auto" w:val="clear"/>
                  <w:tcMar>
                    <w:left w:w="98" w:type="dxa"/>
                  </w:tcMar>
                  <w:vAlign w:val="center"/>
                </w:tcPr>
                <w:p>
                  <w:pPr>
                    <w:pStyle w:val="Normal"/>
                    <w:spacing w:lineRule="auto" w:line="240" w:before="0" w:after="0"/>
                    <w:rPr>
                      <w:sz w:val="18"/>
                      <w:szCs w:val="18"/>
                    </w:rPr>
                  </w:pPr>
                  <w:r>
                    <w:rPr>
                      <w:rFonts w:eastAsia="Times New Roman" w:cs="Calibri"/>
                      <w:color w:val="000000"/>
                      <w:sz w:val="18"/>
                      <w:szCs w:val="18"/>
                      <w:lang w:eastAsia="en-GB"/>
                    </w:rPr>
                    <w:t>street-light maint.</w:t>
                  </w:r>
                </w:p>
              </w:tc>
              <w:tc>
                <w:tcPr>
                  <w:tcW w:w="13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sz w:val="18"/>
                      <w:szCs w:val="18"/>
                      <w:lang w:eastAsia="en-GB"/>
                    </w:rPr>
                    <w:t>£6,822.00</w:t>
                  </w:r>
                </w:p>
              </w:tc>
              <w:tc>
                <w:tcPr>
                  <w:tcW w:w="225"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sz w:val="18"/>
                      <w:szCs w:val="18"/>
                      <w:lang w:eastAsia="en-GB"/>
                    </w:rPr>
                  </w:pPr>
                  <w:r>
                    <w:rPr>
                      <w:rFonts w:eastAsia="Times New Roman" w:cs="Calibri"/>
                      <w:color w:val="000000"/>
                      <w:sz w:val="18"/>
                      <w:szCs w:val="18"/>
                      <w:lang w:eastAsia="en-GB"/>
                    </w:rPr>
                  </w:r>
                </w:p>
              </w:tc>
              <w:tc>
                <w:tcPr>
                  <w:tcW w:w="16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sz w:val="18"/>
                      <w:szCs w:val="18"/>
                      <w:lang w:eastAsia="en-GB"/>
                    </w:rPr>
                    <w:t>£750.00</w:t>
                  </w:r>
                </w:p>
              </w:tc>
              <w:tc>
                <w:tcPr>
                  <w:tcW w:w="224"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sz w:val="18"/>
                      <w:szCs w:val="18"/>
                      <w:lang w:eastAsia="en-GB"/>
                    </w:rPr>
                  </w:pPr>
                  <w:r>
                    <w:rPr>
                      <w:rFonts w:eastAsia="Times New Roman" w:cs="Calibri"/>
                      <w:color w:val="000000"/>
                      <w:sz w:val="18"/>
                      <w:szCs w:val="18"/>
                      <w:lang w:eastAsia="en-GB"/>
                    </w:rPr>
                  </w:r>
                </w:p>
              </w:tc>
              <w:tc>
                <w:tcPr>
                  <w:tcW w:w="159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sz w:val="18"/>
                      <w:szCs w:val="18"/>
                      <w:lang w:eastAsia="en-GB"/>
                    </w:rPr>
                    <w:t>£7,572.00</w:t>
                  </w:r>
                </w:p>
              </w:tc>
              <w:tc>
                <w:tcPr>
                  <w:tcW w:w="285"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sz w:val="18"/>
                      <w:szCs w:val="18"/>
                      <w:lang w:eastAsia="en-GB"/>
                    </w:rPr>
                  </w:pPr>
                  <w:r>
                    <w:rPr>
                      <w:rFonts w:eastAsia="Times New Roman" w:cs="Calibri"/>
                      <w:color w:val="000000"/>
                      <w:sz w:val="18"/>
                      <w:szCs w:val="18"/>
                      <w:lang w:eastAsia="en-GB"/>
                    </w:rPr>
                  </w:r>
                </w:p>
              </w:tc>
              <w:tc>
                <w:tcPr>
                  <w:tcW w:w="1470" w:type="dxa"/>
                  <w:tcBorders>
                    <w:top w:val="single" w:sz="4" w:space="0" w:color="00000A"/>
                    <w:left w:val="single" w:sz="4" w:space="0" w:color="00000A"/>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rPr>
                      <w:rFonts w:ascii="Calibri" w:hAnsi="Calibri" w:eastAsia="Times New Roman" w:cs="Calibri"/>
                      <w:color w:val="000000"/>
                      <w:lang w:eastAsia="en-GB"/>
                    </w:rPr>
                  </w:pPr>
                  <w:r>
                    <w:rPr>
                      <w:rFonts w:eastAsia="Times New Roman" w:cs="Calibri"/>
                      <w:color w:val="000000"/>
                      <w:sz w:val="18"/>
                      <w:szCs w:val="18"/>
                      <w:lang w:eastAsia="en-GB"/>
                    </w:rPr>
                    <w:t xml:space="preserve">street light </w:t>
                  </w:r>
                </w:p>
              </w:tc>
              <w:tc>
                <w:tcPr>
                  <w:tcW w:w="124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sz w:val="18"/>
                      <w:szCs w:val="18"/>
                      <w:lang w:eastAsia="en-GB"/>
                    </w:rPr>
                    <w:t>£5,000.00</w:t>
                  </w:r>
                </w:p>
              </w:tc>
            </w:tr>
            <w:tr>
              <w:trPr>
                <w:trHeight w:val="288" w:hRule="atLeast"/>
              </w:trPr>
              <w:tc>
                <w:tcPr>
                  <w:tcW w:w="1529" w:type="dxa"/>
                  <w:tcBorders>
                    <w:top w:val="single" w:sz="4" w:space="0" w:color="00000A"/>
                    <w:left w:val="single" w:sz="4" w:space="0" w:color="00000A"/>
                    <w:bottom w:val="single" w:sz="4" w:space="0" w:color="00000A"/>
                    <w:right w:val="single" w:sz="4" w:space="0" w:color="000001"/>
                    <w:insideH w:val="single" w:sz="4" w:space="0" w:color="00000A"/>
                    <w:insideV w:val="single" w:sz="4" w:space="0" w:color="000001"/>
                  </w:tcBorders>
                  <w:shd w:color="auto" w:fill="auto" w:val="clear"/>
                  <w:tcMar>
                    <w:left w:w="98" w:type="dxa"/>
                  </w:tcMar>
                  <w:vAlign w:val="center"/>
                </w:tcPr>
                <w:p>
                  <w:pPr>
                    <w:pStyle w:val="Normal"/>
                    <w:spacing w:lineRule="auto" w:line="240" w:before="0" w:after="0"/>
                    <w:rPr>
                      <w:rFonts w:ascii="Calibri" w:hAnsi="Calibri" w:eastAsia="Times New Roman" w:cs="Calibri"/>
                      <w:color w:val="000000"/>
                      <w:lang w:eastAsia="en-GB"/>
                    </w:rPr>
                  </w:pPr>
                  <w:r>
                    <w:rPr>
                      <w:rFonts w:eastAsia="Times New Roman" w:cs="Calibri"/>
                      <w:color w:val="000000"/>
                      <w:sz w:val="18"/>
                      <w:szCs w:val="18"/>
                      <w:lang w:eastAsia="en-GB"/>
                    </w:rPr>
                    <w:t>HMRC</w:t>
                  </w:r>
                </w:p>
              </w:tc>
              <w:tc>
                <w:tcPr>
                  <w:tcW w:w="13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sz w:val="18"/>
                      <w:szCs w:val="18"/>
                      <w:lang w:eastAsia="en-GB"/>
                    </w:rPr>
                    <w:t>£408.75</w:t>
                  </w:r>
                </w:p>
              </w:tc>
              <w:tc>
                <w:tcPr>
                  <w:tcW w:w="225"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sz w:val="18"/>
                      <w:szCs w:val="18"/>
                      <w:lang w:eastAsia="en-GB"/>
                    </w:rPr>
                  </w:pPr>
                  <w:r>
                    <w:rPr>
                      <w:rFonts w:eastAsia="Times New Roman" w:cs="Calibri"/>
                      <w:color w:val="000000"/>
                      <w:sz w:val="18"/>
                      <w:szCs w:val="18"/>
                      <w:lang w:eastAsia="en-GB"/>
                    </w:rPr>
                  </w:r>
                </w:p>
              </w:tc>
              <w:tc>
                <w:tcPr>
                  <w:tcW w:w="16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sz w:val="18"/>
                      <w:szCs w:val="18"/>
                      <w:lang w:eastAsia="en-GB"/>
                    </w:rPr>
                    <w:t>£230.00</w:t>
                  </w:r>
                </w:p>
              </w:tc>
              <w:tc>
                <w:tcPr>
                  <w:tcW w:w="224"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sz w:val="18"/>
                      <w:szCs w:val="18"/>
                      <w:lang w:eastAsia="en-GB"/>
                    </w:rPr>
                  </w:pPr>
                  <w:r>
                    <w:rPr>
                      <w:rFonts w:eastAsia="Times New Roman" w:cs="Calibri"/>
                      <w:color w:val="000000"/>
                      <w:sz w:val="18"/>
                      <w:szCs w:val="18"/>
                      <w:lang w:eastAsia="en-GB"/>
                    </w:rPr>
                  </w:r>
                </w:p>
              </w:tc>
              <w:tc>
                <w:tcPr>
                  <w:tcW w:w="159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sz w:val="18"/>
                      <w:szCs w:val="18"/>
                      <w:lang w:eastAsia="en-GB"/>
                    </w:rPr>
                    <w:t>£638.75</w:t>
                  </w:r>
                </w:p>
              </w:tc>
              <w:tc>
                <w:tcPr>
                  <w:tcW w:w="285"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sz w:val="18"/>
                      <w:szCs w:val="18"/>
                      <w:lang w:eastAsia="en-GB"/>
                    </w:rPr>
                  </w:pPr>
                  <w:r>
                    <w:rPr>
                      <w:rFonts w:eastAsia="Times New Roman" w:cs="Calibri"/>
                      <w:color w:val="000000"/>
                      <w:sz w:val="18"/>
                      <w:szCs w:val="18"/>
                      <w:lang w:eastAsia="en-GB"/>
                    </w:rPr>
                  </w:r>
                </w:p>
              </w:tc>
              <w:tc>
                <w:tcPr>
                  <w:tcW w:w="1470" w:type="dxa"/>
                  <w:tcBorders>
                    <w:top w:val="single" w:sz="4" w:space="0" w:color="00000A"/>
                    <w:left w:val="single" w:sz="4" w:space="0" w:color="00000A"/>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rPr>
                      <w:rFonts w:ascii="Calibri" w:hAnsi="Calibri" w:eastAsia="Times New Roman" w:cs="Calibri"/>
                      <w:color w:val="000000"/>
                      <w:lang w:eastAsia="en-GB"/>
                    </w:rPr>
                  </w:pPr>
                  <w:r>
                    <w:rPr>
                      <w:rFonts w:eastAsia="Times New Roman" w:cs="Calibri"/>
                      <w:color w:val="000000"/>
                      <w:sz w:val="18"/>
                      <w:szCs w:val="18"/>
                      <w:lang w:eastAsia="en-GB"/>
                    </w:rPr>
                    <w:t>HMRC</w:t>
                  </w:r>
                </w:p>
              </w:tc>
              <w:tc>
                <w:tcPr>
                  <w:tcW w:w="124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sz w:val="18"/>
                      <w:szCs w:val="18"/>
                      <w:lang w:eastAsia="en-GB"/>
                    </w:rPr>
                    <w:t>£700.00</w:t>
                  </w:r>
                </w:p>
              </w:tc>
            </w:tr>
            <w:tr>
              <w:trPr>
                <w:trHeight w:val="288" w:hRule="atLeast"/>
              </w:trPr>
              <w:tc>
                <w:tcPr>
                  <w:tcW w:w="1529" w:type="dxa"/>
                  <w:tcBorders>
                    <w:top w:val="single" w:sz="4" w:space="0" w:color="00000A"/>
                    <w:left w:val="single" w:sz="4" w:space="0" w:color="00000A"/>
                    <w:bottom w:val="single" w:sz="4" w:space="0" w:color="00000A"/>
                    <w:right w:val="single" w:sz="4" w:space="0" w:color="000001"/>
                    <w:insideH w:val="single" w:sz="4" w:space="0" w:color="00000A"/>
                    <w:insideV w:val="single" w:sz="4" w:space="0" w:color="000001"/>
                  </w:tcBorders>
                  <w:shd w:color="auto" w:fill="auto" w:val="clear"/>
                  <w:tcMar>
                    <w:left w:w="98" w:type="dxa"/>
                  </w:tcMar>
                  <w:vAlign w:val="center"/>
                </w:tcPr>
                <w:p>
                  <w:pPr>
                    <w:pStyle w:val="Normal"/>
                    <w:spacing w:lineRule="auto" w:line="240" w:before="0" w:after="0"/>
                    <w:rPr>
                      <w:rFonts w:ascii="Calibri" w:hAnsi="Calibri" w:eastAsia="Times New Roman" w:cs="Calibri"/>
                      <w:color w:val="000000"/>
                      <w:lang w:eastAsia="en-GB"/>
                    </w:rPr>
                  </w:pPr>
                  <w:r>
                    <w:rPr>
                      <w:rFonts w:eastAsia="Times New Roman" w:cs="Calibri"/>
                      <w:color w:val="000000"/>
                      <w:sz w:val="18"/>
                      <w:szCs w:val="18"/>
                      <w:lang w:eastAsia="en-GB"/>
                    </w:rPr>
                    <w:t>salary</w:t>
                  </w:r>
                </w:p>
              </w:tc>
              <w:tc>
                <w:tcPr>
                  <w:tcW w:w="13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sz w:val="18"/>
                      <w:szCs w:val="18"/>
                      <w:lang w:eastAsia="en-GB"/>
                    </w:rPr>
                    <w:t>£1,634.98</w:t>
                  </w:r>
                </w:p>
              </w:tc>
              <w:tc>
                <w:tcPr>
                  <w:tcW w:w="225"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sz w:val="18"/>
                      <w:szCs w:val="18"/>
                      <w:lang w:eastAsia="en-GB"/>
                    </w:rPr>
                  </w:pPr>
                  <w:r>
                    <w:rPr>
                      <w:rFonts w:eastAsia="Times New Roman" w:cs="Calibri"/>
                      <w:color w:val="000000"/>
                      <w:sz w:val="18"/>
                      <w:szCs w:val="18"/>
                      <w:lang w:eastAsia="en-GB"/>
                    </w:rPr>
                  </w:r>
                </w:p>
              </w:tc>
              <w:tc>
                <w:tcPr>
                  <w:tcW w:w="16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sz w:val="18"/>
                      <w:szCs w:val="18"/>
                      <w:lang w:eastAsia="en-GB"/>
                    </w:rPr>
                    <w:t>£1,000.00</w:t>
                  </w:r>
                </w:p>
              </w:tc>
              <w:tc>
                <w:tcPr>
                  <w:tcW w:w="224"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sz w:val="18"/>
                      <w:szCs w:val="18"/>
                      <w:lang w:eastAsia="en-GB"/>
                    </w:rPr>
                  </w:pPr>
                  <w:r>
                    <w:rPr>
                      <w:rFonts w:eastAsia="Times New Roman" w:cs="Calibri"/>
                      <w:color w:val="000000"/>
                      <w:sz w:val="18"/>
                      <w:szCs w:val="18"/>
                      <w:lang w:eastAsia="en-GB"/>
                    </w:rPr>
                  </w:r>
                </w:p>
              </w:tc>
              <w:tc>
                <w:tcPr>
                  <w:tcW w:w="159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sz w:val="18"/>
                      <w:szCs w:val="18"/>
                      <w:lang w:eastAsia="en-GB"/>
                    </w:rPr>
                    <w:t>£2,634.98</w:t>
                  </w:r>
                </w:p>
              </w:tc>
              <w:tc>
                <w:tcPr>
                  <w:tcW w:w="285"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sz w:val="18"/>
                      <w:szCs w:val="18"/>
                      <w:lang w:eastAsia="en-GB"/>
                    </w:rPr>
                  </w:pPr>
                  <w:r>
                    <w:rPr>
                      <w:rFonts w:eastAsia="Times New Roman" w:cs="Calibri"/>
                      <w:color w:val="000000"/>
                      <w:sz w:val="18"/>
                      <w:szCs w:val="18"/>
                      <w:lang w:eastAsia="en-GB"/>
                    </w:rPr>
                  </w:r>
                </w:p>
              </w:tc>
              <w:tc>
                <w:tcPr>
                  <w:tcW w:w="1470" w:type="dxa"/>
                  <w:tcBorders>
                    <w:top w:val="single" w:sz="4" w:space="0" w:color="00000A"/>
                    <w:left w:val="single" w:sz="4" w:space="0" w:color="00000A"/>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rPr>
                      <w:rFonts w:ascii="Calibri" w:hAnsi="Calibri" w:eastAsia="Times New Roman" w:cs="Calibri"/>
                      <w:color w:val="000000"/>
                      <w:lang w:eastAsia="en-GB"/>
                    </w:rPr>
                  </w:pPr>
                  <w:r>
                    <w:rPr>
                      <w:rFonts w:eastAsia="Times New Roman" w:cs="Calibri"/>
                      <w:color w:val="000000"/>
                      <w:sz w:val="18"/>
                      <w:szCs w:val="18"/>
                      <w:lang w:eastAsia="en-GB"/>
                    </w:rPr>
                    <w:t>salary</w:t>
                  </w:r>
                </w:p>
              </w:tc>
              <w:tc>
                <w:tcPr>
                  <w:tcW w:w="124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sz w:val="18"/>
                      <w:szCs w:val="18"/>
                      <w:lang w:eastAsia="en-GB"/>
                    </w:rPr>
                    <w:t>£3,000.00</w:t>
                  </w:r>
                </w:p>
              </w:tc>
            </w:tr>
            <w:tr>
              <w:trPr>
                <w:trHeight w:val="288" w:hRule="atLeast"/>
              </w:trPr>
              <w:tc>
                <w:tcPr>
                  <w:tcW w:w="1529" w:type="dxa"/>
                  <w:tcBorders>
                    <w:top w:val="single" w:sz="4" w:space="0" w:color="00000A"/>
                    <w:left w:val="single" w:sz="4" w:space="0" w:color="00000A"/>
                    <w:bottom w:val="single" w:sz="4" w:space="0" w:color="00000A"/>
                    <w:right w:val="single" w:sz="4" w:space="0" w:color="000001"/>
                    <w:insideH w:val="single" w:sz="4" w:space="0" w:color="00000A"/>
                    <w:insideV w:val="single" w:sz="4" w:space="0" w:color="000001"/>
                  </w:tcBorders>
                  <w:shd w:color="auto" w:fill="auto" w:val="clear"/>
                  <w:tcMar>
                    <w:left w:w="98" w:type="dxa"/>
                  </w:tcMar>
                  <w:vAlign w:val="center"/>
                </w:tcPr>
                <w:p>
                  <w:pPr>
                    <w:pStyle w:val="Normal"/>
                    <w:spacing w:lineRule="auto" w:line="240" w:before="0" w:after="0"/>
                    <w:rPr>
                      <w:rFonts w:ascii="Calibri" w:hAnsi="Calibri" w:eastAsia="Times New Roman" w:cs="Calibri"/>
                      <w:color w:val="000000"/>
                      <w:lang w:eastAsia="en-GB"/>
                    </w:rPr>
                  </w:pPr>
                  <w:r>
                    <w:rPr>
                      <w:rFonts w:eastAsia="Times New Roman" w:cs="Calibri"/>
                      <w:color w:val="000000"/>
                      <w:sz w:val="18"/>
                      <w:szCs w:val="18"/>
                      <w:lang w:eastAsia="en-GB"/>
                    </w:rPr>
                    <w:t>expenses</w:t>
                  </w:r>
                </w:p>
              </w:tc>
              <w:tc>
                <w:tcPr>
                  <w:tcW w:w="13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sz w:val="18"/>
                      <w:szCs w:val="18"/>
                      <w:lang w:eastAsia="en-GB"/>
                    </w:rPr>
                    <w:t>£0.00</w:t>
                  </w:r>
                </w:p>
              </w:tc>
              <w:tc>
                <w:tcPr>
                  <w:tcW w:w="225"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sz w:val="18"/>
                      <w:szCs w:val="18"/>
                      <w:lang w:eastAsia="en-GB"/>
                    </w:rPr>
                  </w:pPr>
                  <w:r>
                    <w:rPr>
                      <w:rFonts w:eastAsia="Times New Roman" w:cs="Calibri"/>
                      <w:color w:val="000000"/>
                      <w:sz w:val="18"/>
                      <w:szCs w:val="18"/>
                      <w:lang w:eastAsia="en-GB"/>
                    </w:rPr>
                  </w:r>
                </w:p>
              </w:tc>
              <w:tc>
                <w:tcPr>
                  <w:tcW w:w="16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sz w:val="18"/>
                      <w:szCs w:val="18"/>
                      <w:lang w:eastAsia="en-GB"/>
                    </w:rPr>
                    <w:t>£100.00</w:t>
                  </w:r>
                </w:p>
              </w:tc>
              <w:tc>
                <w:tcPr>
                  <w:tcW w:w="224"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sz w:val="18"/>
                      <w:szCs w:val="18"/>
                      <w:lang w:eastAsia="en-GB"/>
                    </w:rPr>
                  </w:pPr>
                  <w:r>
                    <w:rPr>
                      <w:rFonts w:eastAsia="Times New Roman" w:cs="Calibri"/>
                      <w:color w:val="000000"/>
                      <w:sz w:val="18"/>
                      <w:szCs w:val="18"/>
                      <w:lang w:eastAsia="en-GB"/>
                    </w:rPr>
                  </w:r>
                </w:p>
              </w:tc>
              <w:tc>
                <w:tcPr>
                  <w:tcW w:w="159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sz w:val="18"/>
                      <w:szCs w:val="18"/>
                      <w:lang w:eastAsia="en-GB"/>
                    </w:rPr>
                    <w:t>£100.00</w:t>
                  </w:r>
                </w:p>
              </w:tc>
              <w:tc>
                <w:tcPr>
                  <w:tcW w:w="285"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sz w:val="18"/>
                      <w:szCs w:val="18"/>
                      <w:lang w:eastAsia="en-GB"/>
                    </w:rPr>
                  </w:pPr>
                  <w:r>
                    <w:rPr>
                      <w:rFonts w:eastAsia="Times New Roman" w:cs="Calibri"/>
                      <w:color w:val="000000"/>
                      <w:sz w:val="18"/>
                      <w:szCs w:val="18"/>
                      <w:lang w:eastAsia="en-GB"/>
                    </w:rPr>
                  </w:r>
                </w:p>
              </w:tc>
              <w:tc>
                <w:tcPr>
                  <w:tcW w:w="1470" w:type="dxa"/>
                  <w:tcBorders>
                    <w:top w:val="single" w:sz="4" w:space="0" w:color="00000A"/>
                    <w:left w:val="single" w:sz="4" w:space="0" w:color="00000A"/>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rPr>
                      <w:rFonts w:ascii="Calibri" w:hAnsi="Calibri" w:eastAsia="Times New Roman" w:cs="Calibri"/>
                      <w:color w:val="000000"/>
                      <w:lang w:eastAsia="en-GB"/>
                    </w:rPr>
                  </w:pPr>
                  <w:r>
                    <w:rPr>
                      <w:rFonts w:eastAsia="Times New Roman" w:cs="Calibri"/>
                      <w:color w:val="000000"/>
                      <w:sz w:val="18"/>
                      <w:szCs w:val="18"/>
                      <w:lang w:eastAsia="en-GB"/>
                    </w:rPr>
                    <w:t>expenses</w:t>
                  </w:r>
                </w:p>
              </w:tc>
              <w:tc>
                <w:tcPr>
                  <w:tcW w:w="124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sz w:val="18"/>
                      <w:szCs w:val="18"/>
                      <w:lang w:eastAsia="en-GB"/>
                    </w:rPr>
                    <w:t>£125.00</w:t>
                  </w:r>
                </w:p>
              </w:tc>
            </w:tr>
            <w:tr>
              <w:trPr>
                <w:trHeight w:val="288" w:hRule="atLeast"/>
              </w:trPr>
              <w:tc>
                <w:tcPr>
                  <w:tcW w:w="1529" w:type="dxa"/>
                  <w:tcBorders>
                    <w:top w:val="single" w:sz="4" w:space="0" w:color="00000A"/>
                    <w:left w:val="single" w:sz="4" w:space="0" w:color="00000A"/>
                    <w:bottom w:val="single" w:sz="4" w:space="0" w:color="00000A"/>
                    <w:right w:val="single" w:sz="4" w:space="0" w:color="000001"/>
                    <w:insideH w:val="single" w:sz="4" w:space="0" w:color="00000A"/>
                    <w:insideV w:val="single" w:sz="4" w:space="0" w:color="000001"/>
                  </w:tcBorders>
                  <w:shd w:color="auto" w:fill="auto" w:val="clear"/>
                  <w:tcMar>
                    <w:left w:w="98" w:type="dxa"/>
                  </w:tcMar>
                  <w:vAlign w:val="center"/>
                </w:tcPr>
                <w:p>
                  <w:pPr>
                    <w:pStyle w:val="Normal"/>
                    <w:spacing w:lineRule="auto" w:line="240" w:before="0" w:after="0"/>
                    <w:rPr>
                      <w:rFonts w:ascii="Calibri" w:hAnsi="Calibri" w:eastAsia="Times New Roman" w:cs="Calibri"/>
                      <w:color w:val="000000"/>
                      <w:lang w:eastAsia="en-GB"/>
                    </w:rPr>
                  </w:pPr>
                  <w:r>
                    <w:rPr>
                      <w:rFonts w:eastAsia="Times New Roman" w:cs="Calibri"/>
                      <w:color w:val="000000"/>
                      <w:sz w:val="18"/>
                      <w:szCs w:val="18"/>
                      <w:lang w:eastAsia="en-GB"/>
                    </w:rPr>
                    <w:t>utilities</w:t>
                  </w:r>
                </w:p>
              </w:tc>
              <w:tc>
                <w:tcPr>
                  <w:tcW w:w="13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sz w:val="18"/>
                      <w:szCs w:val="18"/>
                      <w:lang w:eastAsia="en-GB"/>
                    </w:rPr>
                    <w:t>£1,230.09</w:t>
                  </w:r>
                </w:p>
              </w:tc>
              <w:tc>
                <w:tcPr>
                  <w:tcW w:w="225"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sz w:val="18"/>
                      <w:szCs w:val="18"/>
                      <w:lang w:eastAsia="en-GB"/>
                    </w:rPr>
                  </w:pPr>
                  <w:r>
                    <w:rPr>
                      <w:rFonts w:eastAsia="Times New Roman" w:cs="Calibri"/>
                      <w:color w:val="000000"/>
                      <w:sz w:val="18"/>
                      <w:szCs w:val="18"/>
                      <w:lang w:eastAsia="en-GB"/>
                    </w:rPr>
                  </w:r>
                </w:p>
              </w:tc>
              <w:tc>
                <w:tcPr>
                  <w:tcW w:w="16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sz w:val="18"/>
                      <w:szCs w:val="18"/>
                      <w:lang w:eastAsia="en-GB"/>
                    </w:rPr>
                    <w:t>£660.00</w:t>
                  </w:r>
                </w:p>
              </w:tc>
              <w:tc>
                <w:tcPr>
                  <w:tcW w:w="224"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sz w:val="18"/>
                      <w:szCs w:val="18"/>
                      <w:lang w:eastAsia="en-GB"/>
                    </w:rPr>
                  </w:pPr>
                  <w:r>
                    <w:rPr>
                      <w:rFonts w:eastAsia="Times New Roman" w:cs="Calibri"/>
                      <w:color w:val="000000"/>
                      <w:sz w:val="18"/>
                      <w:szCs w:val="18"/>
                      <w:lang w:eastAsia="en-GB"/>
                    </w:rPr>
                  </w:r>
                </w:p>
              </w:tc>
              <w:tc>
                <w:tcPr>
                  <w:tcW w:w="159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sz w:val="18"/>
                      <w:szCs w:val="18"/>
                      <w:lang w:eastAsia="en-GB"/>
                    </w:rPr>
                    <w:t>£1,890.09</w:t>
                  </w:r>
                </w:p>
              </w:tc>
              <w:tc>
                <w:tcPr>
                  <w:tcW w:w="285"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sz w:val="18"/>
                      <w:szCs w:val="18"/>
                      <w:lang w:eastAsia="en-GB"/>
                    </w:rPr>
                  </w:pPr>
                  <w:r>
                    <w:rPr>
                      <w:rFonts w:eastAsia="Times New Roman" w:cs="Calibri"/>
                      <w:color w:val="000000"/>
                      <w:sz w:val="18"/>
                      <w:szCs w:val="18"/>
                      <w:lang w:eastAsia="en-GB"/>
                    </w:rPr>
                  </w:r>
                </w:p>
              </w:tc>
              <w:tc>
                <w:tcPr>
                  <w:tcW w:w="1470" w:type="dxa"/>
                  <w:tcBorders>
                    <w:top w:val="single" w:sz="4" w:space="0" w:color="00000A"/>
                    <w:left w:val="single" w:sz="4" w:space="0" w:color="00000A"/>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rPr>
                      <w:rFonts w:ascii="Calibri" w:hAnsi="Calibri" w:eastAsia="Times New Roman" w:cs="Calibri"/>
                      <w:color w:val="000000"/>
                      <w:lang w:eastAsia="en-GB"/>
                    </w:rPr>
                  </w:pPr>
                  <w:r>
                    <w:rPr>
                      <w:rFonts w:eastAsia="Times New Roman" w:cs="Calibri"/>
                      <w:color w:val="000000"/>
                      <w:sz w:val="18"/>
                      <w:szCs w:val="18"/>
                      <w:lang w:eastAsia="en-GB"/>
                    </w:rPr>
                    <w:t>utilities</w:t>
                  </w:r>
                </w:p>
              </w:tc>
              <w:tc>
                <w:tcPr>
                  <w:tcW w:w="124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sz w:val="18"/>
                      <w:szCs w:val="18"/>
                      <w:lang w:eastAsia="en-GB"/>
                    </w:rPr>
                    <w:t>£2,200.00</w:t>
                  </w:r>
                </w:p>
              </w:tc>
            </w:tr>
            <w:tr>
              <w:trPr>
                <w:trHeight w:val="288" w:hRule="atLeast"/>
              </w:trPr>
              <w:tc>
                <w:tcPr>
                  <w:tcW w:w="1529" w:type="dxa"/>
                  <w:tcBorders>
                    <w:top w:val="single" w:sz="4" w:space="0" w:color="00000A"/>
                    <w:left w:val="single" w:sz="4" w:space="0" w:color="00000A"/>
                    <w:bottom w:val="single" w:sz="4" w:space="0" w:color="00000A"/>
                    <w:right w:val="single" w:sz="4" w:space="0" w:color="000001"/>
                    <w:insideH w:val="single" w:sz="4" w:space="0" w:color="00000A"/>
                    <w:insideV w:val="single" w:sz="4" w:space="0" w:color="000001"/>
                  </w:tcBorders>
                  <w:shd w:color="auto" w:fill="auto" w:val="clear"/>
                  <w:tcMar>
                    <w:left w:w="98" w:type="dxa"/>
                  </w:tcMar>
                  <w:vAlign w:val="center"/>
                </w:tcPr>
                <w:p>
                  <w:pPr>
                    <w:pStyle w:val="Normal"/>
                    <w:spacing w:lineRule="auto" w:line="240" w:before="0" w:after="0"/>
                    <w:rPr>
                      <w:rFonts w:ascii="Calibri" w:hAnsi="Calibri" w:eastAsia="Times New Roman" w:cs="Calibri"/>
                      <w:color w:val="000000"/>
                      <w:lang w:eastAsia="en-GB"/>
                    </w:rPr>
                  </w:pPr>
                  <w:r>
                    <w:rPr>
                      <w:rFonts w:eastAsia="Times New Roman" w:cs="Calibri"/>
                      <w:color w:val="000000"/>
                      <w:sz w:val="18"/>
                      <w:szCs w:val="18"/>
                      <w:lang w:eastAsia="en-GB"/>
                    </w:rPr>
                    <w:t>room hire</w:t>
                  </w:r>
                </w:p>
              </w:tc>
              <w:tc>
                <w:tcPr>
                  <w:tcW w:w="13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sz w:val="18"/>
                      <w:szCs w:val="18"/>
                      <w:lang w:eastAsia="en-GB"/>
                    </w:rPr>
                    <w:t>£200.00</w:t>
                  </w:r>
                </w:p>
              </w:tc>
              <w:tc>
                <w:tcPr>
                  <w:tcW w:w="225"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sz w:val="18"/>
                      <w:szCs w:val="18"/>
                      <w:lang w:eastAsia="en-GB"/>
                    </w:rPr>
                  </w:pPr>
                  <w:r>
                    <w:rPr>
                      <w:rFonts w:eastAsia="Times New Roman" w:cs="Calibri"/>
                      <w:color w:val="000000"/>
                      <w:sz w:val="18"/>
                      <w:szCs w:val="18"/>
                      <w:lang w:eastAsia="en-GB"/>
                    </w:rPr>
                  </w:r>
                </w:p>
              </w:tc>
              <w:tc>
                <w:tcPr>
                  <w:tcW w:w="16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sz w:val="18"/>
                      <w:szCs w:val="18"/>
                      <w:lang w:eastAsia="en-GB"/>
                    </w:rPr>
                    <w:t>£0.00</w:t>
                  </w:r>
                </w:p>
              </w:tc>
              <w:tc>
                <w:tcPr>
                  <w:tcW w:w="224"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sz w:val="18"/>
                      <w:szCs w:val="18"/>
                      <w:lang w:eastAsia="en-GB"/>
                    </w:rPr>
                  </w:pPr>
                  <w:r>
                    <w:rPr>
                      <w:rFonts w:eastAsia="Times New Roman" w:cs="Calibri"/>
                      <w:color w:val="000000"/>
                      <w:sz w:val="18"/>
                      <w:szCs w:val="18"/>
                      <w:lang w:eastAsia="en-GB"/>
                    </w:rPr>
                  </w:r>
                </w:p>
              </w:tc>
              <w:tc>
                <w:tcPr>
                  <w:tcW w:w="159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sz w:val="18"/>
                      <w:szCs w:val="18"/>
                      <w:lang w:eastAsia="en-GB"/>
                    </w:rPr>
                    <w:t>£200.00</w:t>
                  </w:r>
                </w:p>
              </w:tc>
              <w:tc>
                <w:tcPr>
                  <w:tcW w:w="285"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sz w:val="18"/>
                      <w:szCs w:val="18"/>
                      <w:lang w:eastAsia="en-GB"/>
                    </w:rPr>
                  </w:pPr>
                  <w:r>
                    <w:rPr>
                      <w:rFonts w:eastAsia="Times New Roman" w:cs="Calibri"/>
                      <w:color w:val="000000"/>
                      <w:sz w:val="18"/>
                      <w:szCs w:val="18"/>
                      <w:lang w:eastAsia="en-GB"/>
                    </w:rPr>
                  </w:r>
                </w:p>
              </w:tc>
              <w:tc>
                <w:tcPr>
                  <w:tcW w:w="1470" w:type="dxa"/>
                  <w:tcBorders>
                    <w:top w:val="single" w:sz="4" w:space="0" w:color="00000A"/>
                    <w:left w:val="single" w:sz="4" w:space="0" w:color="00000A"/>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rPr>
                      <w:rFonts w:ascii="Calibri" w:hAnsi="Calibri" w:eastAsia="Times New Roman" w:cs="Calibri"/>
                      <w:color w:val="000000"/>
                      <w:lang w:eastAsia="en-GB"/>
                    </w:rPr>
                  </w:pPr>
                  <w:r>
                    <w:rPr>
                      <w:rFonts w:eastAsia="Times New Roman" w:cs="Calibri"/>
                      <w:color w:val="000000"/>
                      <w:sz w:val="18"/>
                      <w:szCs w:val="18"/>
                      <w:lang w:eastAsia="en-GB"/>
                    </w:rPr>
                    <w:t>room hire</w:t>
                  </w:r>
                </w:p>
              </w:tc>
              <w:tc>
                <w:tcPr>
                  <w:tcW w:w="124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sz w:val="18"/>
                      <w:szCs w:val="18"/>
                      <w:lang w:eastAsia="en-GB"/>
                    </w:rPr>
                    <w:t>£150.00</w:t>
                  </w:r>
                </w:p>
              </w:tc>
            </w:tr>
            <w:tr>
              <w:trPr>
                <w:trHeight w:val="288" w:hRule="atLeast"/>
              </w:trPr>
              <w:tc>
                <w:tcPr>
                  <w:tcW w:w="1529" w:type="dxa"/>
                  <w:tcBorders>
                    <w:top w:val="single" w:sz="4" w:space="0" w:color="00000A"/>
                    <w:left w:val="single" w:sz="4" w:space="0" w:color="00000A"/>
                    <w:bottom w:val="single" w:sz="4" w:space="0" w:color="00000A"/>
                    <w:right w:val="single" w:sz="4" w:space="0" w:color="000001"/>
                    <w:insideH w:val="single" w:sz="4" w:space="0" w:color="00000A"/>
                    <w:insideV w:val="single" w:sz="4" w:space="0" w:color="000001"/>
                  </w:tcBorders>
                  <w:shd w:color="auto" w:fill="auto" w:val="clear"/>
                  <w:tcMar>
                    <w:left w:w="98" w:type="dxa"/>
                  </w:tcMar>
                  <w:vAlign w:val="center"/>
                </w:tcPr>
                <w:p>
                  <w:pPr>
                    <w:pStyle w:val="Normal"/>
                    <w:spacing w:lineRule="auto" w:line="240" w:before="0" w:after="0"/>
                    <w:rPr>
                      <w:rFonts w:ascii="Calibri" w:hAnsi="Calibri" w:eastAsia="Times New Roman" w:cs="Calibri"/>
                      <w:color w:val="000000"/>
                      <w:lang w:eastAsia="en-GB"/>
                    </w:rPr>
                  </w:pPr>
                  <w:r>
                    <w:rPr>
                      <w:rFonts w:eastAsia="Times New Roman" w:cs="Calibri"/>
                      <w:color w:val="000000"/>
                      <w:sz w:val="18"/>
                      <w:szCs w:val="18"/>
                      <w:lang w:eastAsia="en-GB"/>
                    </w:rPr>
                    <w:t>allotments</w:t>
                  </w:r>
                </w:p>
              </w:tc>
              <w:tc>
                <w:tcPr>
                  <w:tcW w:w="13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sz w:val="18"/>
                      <w:szCs w:val="18"/>
                      <w:lang w:eastAsia="en-GB"/>
                    </w:rPr>
                    <w:t>£433.92</w:t>
                  </w:r>
                </w:p>
              </w:tc>
              <w:tc>
                <w:tcPr>
                  <w:tcW w:w="225"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sz w:val="18"/>
                      <w:szCs w:val="18"/>
                      <w:lang w:eastAsia="en-GB"/>
                    </w:rPr>
                  </w:pPr>
                  <w:r>
                    <w:rPr>
                      <w:rFonts w:eastAsia="Times New Roman" w:cs="Calibri"/>
                      <w:color w:val="000000"/>
                      <w:sz w:val="18"/>
                      <w:szCs w:val="18"/>
                      <w:lang w:eastAsia="en-GB"/>
                    </w:rPr>
                  </w:r>
                </w:p>
              </w:tc>
              <w:tc>
                <w:tcPr>
                  <w:tcW w:w="16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sz w:val="18"/>
                      <w:szCs w:val="18"/>
                      <w:lang w:eastAsia="en-GB"/>
                    </w:rPr>
                    <w:t>£0.00</w:t>
                  </w:r>
                </w:p>
              </w:tc>
              <w:tc>
                <w:tcPr>
                  <w:tcW w:w="224"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sz w:val="18"/>
                      <w:szCs w:val="18"/>
                      <w:lang w:eastAsia="en-GB"/>
                    </w:rPr>
                  </w:pPr>
                  <w:r>
                    <w:rPr>
                      <w:rFonts w:eastAsia="Times New Roman" w:cs="Calibri"/>
                      <w:color w:val="000000"/>
                      <w:sz w:val="18"/>
                      <w:szCs w:val="18"/>
                      <w:lang w:eastAsia="en-GB"/>
                    </w:rPr>
                  </w:r>
                </w:p>
              </w:tc>
              <w:tc>
                <w:tcPr>
                  <w:tcW w:w="159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sz w:val="18"/>
                      <w:szCs w:val="18"/>
                      <w:lang w:eastAsia="en-GB"/>
                    </w:rPr>
                    <w:t>£433.92</w:t>
                  </w:r>
                </w:p>
              </w:tc>
              <w:tc>
                <w:tcPr>
                  <w:tcW w:w="285"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sz w:val="18"/>
                      <w:szCs w:val="18"/>
                      <w:lang w:eastAsia="en-GB"/>
                    </w:rPr>
                  </w:pPr>
                  <w:r>
                    <w:rPr>
                      <w:rFonts w:eastAsia="Times New Roman" w:cs="Calibri"/>
                      <w:color w:val="000000"/>
                      <w:sz w:val="18"/>
                      <w:szCs w:val="18"/>
                      <w:lang w:eastAsia="en-GB"/>
                    </w:rPr>
                  </w:r>
                </w:p>
              </w:tc>
              <w:tc>
                <w:tcPr>
                  <w:tcW w:w="1470" w:type="dxa"/>
                  <w:tcBorders>
                    <w:top w:val="single" w:sz="4" w:space="0" w:color="00000A"/>
                    <w:left w:val="single" w:sz="4" w:space="0" w:color="00000A"/>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rPr>
                      <w:rFonts w:ascii="Calibri" w:hAnsi="Calibri" w:eastAsia="Times New Roman" w:cs="Calibri"/>
                      <w:color w:val="000000"/>
                      <w:lang w:eastAsia="en-GB"/>
                    </w:rPr>
                  </w:pPr>
                  <w:r>
                    <w:rPr>
                      <w:rFonts w:eastAsia="Times New Roman" w:cs="Calibri"/>
                      <w:color w:val="000000"/>
                      <w:sz w:val="18"/>
                      <w:szCs w:val="18"/>
                      <w:lang w:eastAsia="en-GB"/>
                    </w:rPr>
                    <w:t>allotments</w:t>
                  </w:r>
                </w:p>
              </w:tc>
              <w:tc>
                <w:tcPr>
                  <w:tcW w:w="124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sz w:val="18"/>
                      <w:szCs w:val="18"/>
                      <w:lang w:eastAsia="en-GB"/>
                    </w:rPr>
                    <w:t>£300.00</w:t>
                  </w:r>
                </w:p>
              </w:tc>
            </w:tr>
            <w:tr>
              <w:trPr>
                <w:trHeight w:val="288" w:hRule="atLeast"/>
              </w:trPr>
              <w:tc>
                <w:tcPr>
                  <w:tcW w:w="1529" w:type="dxa"/>
                  <w:tcBorders>
                    <w:top w:val="single" w:sz="4" w:space="0" w:color="00000A"/>
                    <w:left w:val="single" w:sz="4" w:space="0" w:color="00000A"/>
                    <w:bottom w:val="single" w:sz="4" w:space="0" w:color="00000A"/>
                    <w:right w:val="single" w:sz="4" w:space="0" w:color="000001"/>
                    <w:insideH w:val="single" w:sz="4" w:space="0" w:color="00000A"/>
                    <w:insideV w:val="single" w:sz="4" w:space="0" w:color="000001"/>
                  </w:tcBorders>
                  <w:shd w:color="auto" w:fill="auto" w:val="clear"/>
                  <w:tcMar>
                    <w:left w:w="98" w:type="dxa"/>
                  </w:tcMar>
                  <w:vAlign w:val="center"/>
                </w:tcPr>
                <w:p>
                  <w:pPr>
                    <w:pStyle w:val="Normal"/>
                    <w:spacing w:lineRule="auto" w:line="240" w:before="0" w:after="0"/>
                    <w:rPr>
                      <w:rFonts w:ascii="Calibri" w:hAnsi="Calibri" w:eastAsia="Times New Roman" w:cs="Calibri"/>
                      <w:color w:val="000000"/>
                      <w:lang w:eastAsia="en-GB"/>
                    </w:rPr>
                  </w:pPr>
                  <w:r>
                    <w:rPr>
                      <w:rFonts w:eastAsia="Times New Roman" w:cs="Calibri"/>
                      <w:color w:val="000000"/>
                      <w:sz w:val="18"/>
                      <w:szCs w:val="18"/>
                      <w:lang w:eastAsia="en-GB"/>
                    </w:rPr>
                    <w:t>subs</w:t>
                  </w:r>
                </w:p>
              </w:tc>
              <w:tc>
                <w:tcPr>
                  <w:tcW w:w="13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sz w:val="18"/>
                      <w:szCs w:val="18"/>
                      <w:lang w:eastAsia="en-GB"/>
                    </w:rPr>
                    <w:t>£419.64</w:t>
                  </w:r>
                </w:p>
              </w:tc>
              <w:tc>
                <w:tcPr>
                  <w:tcW w:w="225"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sz w:val="18"/>
                      <w:szCs w:val="18"/>
                      <w:lang w:eastAsia="en-GB"/>
                    </w:rPr>
                  </w:pPr>
                  <w:r>
                    <w:rPr>
                      <w:rFonts w:eastAsia="Times New Roman" w:cs="Calibri"/>
                      <w:color w:val="000000"/>
                      <w:sz w:val="18"/>
                      <w:szCs w:val="18"/>
                      <w:lang w:eastAsia="en-GB"/>
                    </w:rPr>
                  </w:r>
                </w:p>
              </w:tc>
              <w:tc>
                <w:tcPr>
                  <w:tcW w:w="16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sz w:val="18"/>
                      <w:szCs w:val="18"/>
                      <w:lang w:eastAsia="en-GB"/>
                    </w:rPr>
                    <w:t>£0.00</w:t>
                  </w:r>
                </w:p>
              </w:tc>
              <w:tc>
                <w:tcPr>
                  <w:tcW w:w="224"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sz w:val="18"/>
                      <w:szCs w:val="18"/>
                      <w:lang w:eastAsia="en-GB"/>
                    </w:rPr>
                  </w:pPr>
                  <w:r>
                    <w:rPr>
                      <w:rFonts w:eastAsia="Times New Roman" w:cs="Calibri"/>
                      <w:color w:val="000000"/>
                      <w:sz w:val="18"/>
                      <w:szCs w:val="18"/>
                      <w:lang w:eastAsia="en-GB"/>
                    </w:rPr>
                  </w:r>
                </w:p>
              </w:tc>
              <w:tc>
                <w:tcPr>
                  <w:tcW w:w="159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sz w:val="18"/>
                      <w:szCs w:val="18"/>
                      <w:lang w:eastAsia="en-GB"/>
                    </w:rPr>
                    <w:t>£419.64</w:t>
                  </w:r>
                </w:p>
              </w:tc>
              <w:tc>
                <w:tcPr>
                  <w:tcW w:w="285"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sz w:val="18"/>
                      <w:szCs w:val="18"/>
                      <w:lang w:eastAsia="en-GB"/>
                    </w:rPr>
                  </w:pPr>
                  <w:r>
                    <w:rPr>
                      <w:rFonts w:eastAsia="Times New Roman" w:cs="Calibri"/>
                      <w:color w:val="000000"/>
                      <w:sz w:val="18"/>
                      <w:szCs w:val="18"/>
                      <w:lang w:eastAsia="en-GB"/>
                    </w:rPr>
                  </w:r>
                </w:p>
              </w:tc>
              <w:tc>
                <w:tcPr>
                  <w:tcW w:w="1470" w:type="dxa"/>
                  <w:tcBorders>
                    <w:top w:val="single" w:sz="4" w:space="0" w:color="00000A"/>
                    <w:left w:val="single" w:sz="4" w:space="0" w:color="00000A"/>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rPr>
                      <w:rFonts w:ascii="Calibri" w:hAnsi="Calibri" w:eastAsia="Times New Roman" w:cs="Calibri"/>
                      <w:color w:val="000000"/>
                      <w:lang w:eastAsia="en-GB"/>
                    </w:rPr>
                  </w:pPr>
                  <w:r>
                    <w:rPr>
                      <w:rFonts w:eastAsia="Times New Roman" w:cs="Calibri"/>
                      <w:color w:val="000000"/>
                      <w:sz w:val="18"/>
                      <w:szCs w:val="18"/>
                      <w:lang w:eastAsia="en-GB"/>
                    </w:rPr>
                    <w:t>subs</w:t>
                  </w:r>
                </w:p>
              </w:tc>
              <w:tc>
                <w:tcPr>
                  <w:tcW w:w="124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sz w:val="18"/>
                      <w:szCs w:val="18"/>
                      <w:lang w:eastAsia="en-GB"/>
                    </w:rPr>
                    <w:t>£450.00</w:t>
                  </w:r>
                </w:p>
              </w:tc>
            </w:tr>
            <w:tr>
              <w:trPr>
                <w:trHeight w:val="288" w:hRule="atLeast"/>
              </w:trPr>
              <w:tc>
                <w:tcPr>
                  <w:tcW w:w="1529" w:type="dxa"/>
                  <w:tcBorders>
                    <w:top w:val="single" w:sz="4" w:space="0" w:color="00000A"/>
                    <w:left w:val="single" w:sz="4" w:space="0" w:color="00000A"/>
                    <w:bottom w:val="single" w:sz="4" w:space="0" w:color="00000A"/>
                    <w:right w:val="single" w:sz="4" w:space="0" w:color="000001"/>
                    <w:insideH w:val="single" w:sz="4" w:space="0" w:color="00000A"/>
                    <w:insideV w:val="single" w:sz="4" w:space="0" w:color="000001"/>
                  </w:tcBorders>
                  <w:shd w:color="auto" w:fill="auto" w:val="clear"/>
                  <w:tcMar>
                    <w:left w:w="98" w:type="dxa"/>
                  </w:tcMar>
                  <w:vAlign w:val="center"/>
                </w:tcPr>
                <w:p>
                  <w:pPr>
                    <w:pStyle w:val="Normal"/>
                    <w:spacing w:lineRule="auto" w:line="240" w:before="0" w:after="0"/>
                    <w:rPr>
                      <w:rFonts w:ascii="Calibri" w:hAnsi="Calibri" w:eastAsia="Times New Roman" w:cs="Calibri"/>
                      <w:color w:val="000000"/>
                      <w:lang w:eastAsia="en-GB"/>
                    </w:rPr>
                  </w:pPr>
                  <w:r>
                    <w:rPr>
                      <w:rFonts w:eastAsia="Times New Roman" w:cs="Calibri"/>
                      <w:color w:val="000000"/>
                      <w:lang w:eastAsia="en-GB"/>
                    </w:rPr>
                    <w:t>insurance</w:t>
                  </w:r>
                </w:p>
              </w:tc>
              <w:tc>
                <w:tcPr>
                  <w:tcW w:w="13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t>£528.92</w:t>
                  </w:r>
                </w:p>
              </w:tc>
              <w:tc>
                <w:tcPr>
                  <w:tcW w:w="225"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r>
                </w:p>
              </w:tc>
              <w:tc>
                <w:tcPr>
                  <w:tcW w:w="16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t>£1,000.00</w:t>
                  </w:r>
                </w:p>
              </w:tc>
              <w:tc>
                <w:tcPr>
                  <w:tcW w:w="224"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r>
                </w:p>
              </w:tc>
              <w:tc>
                <w:tcPr>
                  <w:tcW w:w="159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t>£1,528.92</w:t>
                  </w:r>
                </w:p>
              </w:tc>
              <w:tc>
                <w:tcPr>
                  <w:tcW w:w="285"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r>
                </w:p>
              </w:tc>
              <w:tc>
                <w:tcPr>
                  <w:tcW w:w="1470" w:type="dxa"/>
                  <w:tcBorders>
                    <w:top w:val="single" w:sz="4" w:space="0" w:color="00000A"/>
                    <w:left w:val="single" w:sz="4" w:space="0" w:color="00000A"/>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rPr>
                      <w:rFonts w:ascii="Calibri" w:hAnsi="Calibri" w:eastAsia="Times New Roman" w:cs="Calibri"/>
                      <w:color w:val="000000"/>
                      <w:lang w:eastAsia="en-GB"/>
                    </w:rPr>
                  </w:pPr>
                  <w:r>
                    <w:rPr>
                      <w:rFonts w:eastAsia="Times New Roman" w:cs="Calibri"/>
                      <w:color w:val="000000"/>
                      <w:lang w:eastAsia="en-GB"/>
                    </w:rPr>
                    <w:t>insurance</w:t>
                  </w:r>
                </w:p>
              </w:tc>
              <w:tc>
                <w:tcPr>
                  <w:tcW w:w="124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t>£825.00</w:t>
                  </w:r>
                </w:p>
              </w:tc>
            </w:tr>
            <w:tr>
              <w:trPr>
                <w:trHeight w:val="288" w:hRule="atLeast"/>
              </w:trPr>
              <w:tc>
                <w:tcPr>
                  <w:tcW w:w="1529" w:type="dxa"/>
                  <w:tcBorders>
                    <w:top w:val="single" w:sz="4" w:space="0" w:color="00000A"/>
                    <w:left w:val="single" w:sz="4" w:space="0" w:color="00000A"/>
                    <w:bottom w:val="single" w:sz="4" w:space="0" w:color="00000A"/>
                    <w:right w:val="single" w:sz="4" w:space="0" w:color="000001"/>
                    <w:insideH w:val="single" w:sz="4" w:space="0" w:color="00000A"/>
                    <w:insideV w:val="single" w:sz="4" w:space="0" w:color="000001"/>
                  </w:tcBorders>
                  <w:shd w:color="auto" w:fill="auto" w:val="clear"/>
                  <w:tcMar>
                    <w:left w:w="98" w:type="dxa"/>
                  </w:tcMar>
                  <w:vAlign w:val="center"/>
                </w:tcPr>
                <w:p>
                  <w:pPr>
                    <w:pStyle w:val="Normal"/>
                    <w:spacing w:lineRule="auto" w:line="240" w:before="0" w:after="0"/>
                    <w:rPr>
                      <w:rFonts w:ascii="Calibri" w:hAnsi="Calibri" w:eastAsia="Times New Roman" w:cs="Calibri"/>
                      <w:color w:val="000000"/>
                      <w:lang w:eastAsia="en-GB"/>
                    </w:rPr>
                  </w:pPr>
                  <w:r>
                    <w:rPr>
                      <w:rFonts w:eastAsia="Times New Roman" w:cs="Calibri"/>
                      <w:color w:val="000000"/>
                      <w:lang w:eastAsia="en-GB"/>
                    </w:rPr>
                    <w:t>auditors</w:t>
                  </w:r>
                </w:p>
              </w:tc>
              <w:tc>
                <w:tcPr>
                  <w:tcW w:w="13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t>£110.00</w:t>
                  </w:r>
                </w:p>
              </w:tc>
              <w:tc>
                <w:tcPr>
                  <w:tcW w:w="225"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r>
                </w:p>
              </w:tc>
              <w:tc>
                <w:tcPr>
                  <w:tcW w:w="16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t>£0.00</w:t>
                  </w:r>
                </w:p>
              </w:tc>
              <w:tc>
                <w:tcPr>
                  <w:tcW w:w="224"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r>
                </w:p>
              </w:tc>
              <w:tc>
                <w:tcPr>
                  <w:tcW w:w="159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t>£110.00</w:t>
                  </w:r>
                </w:p>
              </w:tc>
              <w:tc>
                <w:tcPr>
                  <w:tcW w:w="285"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r>
                </w:p>
              </w:tc>
              <w:tc>
                <w:tcPr>
                  <w:tcW w:w="1470" w:type="dxa"/>
                  <w:tcBorders>
                    <w:top w:val="single" w:sz="4" w:space="0" w:color="00000A"/>
                    <w:left w:val="single" w:sz="4" w:space="0" w:color="00000A"/>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rPr>
                      <w:rFonts w:ascii="Calibri" w:hAnsi="Calibri" w:eastAsia="Times New Roman" w:cs="Calibri"/>
                      <w:color w:val="000000"/>
                      <w:lang w:eastAsia="en-GB"/>
                    </w:rPr>
                  </w:pPr>
                  <w:r>
                    <w:rPr>
                      <w:rFonts w:eastAsia="Times New Roman" w:cs="Calibri"/>
                      <w:color w:val="000000"/>
                      <w:lang w:eastAsia="en-GB"/>
                    </w:rPr>
                    <w:t>auditors</w:t>
                  </w:r>
                </w:p>
              </w:tc>
              <w:tc>
                <w:tcPr>
                  <w:tcW w:w="124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t>£225.00</w:t>
                  </w:r>
                </w:p>
              </w:tc>
            </w:tr>
            <w:tr>
              <w:trPr>
                <w:trHeight w:val="288" w:hRule="atLeast"/>
              </w:trPr>
              <w:tc>
                <w:tcPr>
                  <w:tcW w:w="1529" w:type="dxa"/>
                  <w:tcBorders>
                    <w:top w:val="single" w:sz="4" w:space="0" w:color="00000A"/>
                    <w:left w:val="single" w:sz="4" w:space="0" w:color="00000A"/>
                    <w:bottom w:val="single" w:sz="4" w:space="0" w:color="00000A"/>
                    <w:right w:val="single" w:sz="4" w:space="0" w:color="000001"/>
                    <w:insideH w:val="single" w:sz="4" w:space="0" w:color="00000A"/>
                    <w:insideV w:val="single" w:sz="4" w:space="0" w:color="000001"/>
                  </w:tcBorders>
                  <w:shd w:color="auto" w:fill="auto" w:val="clear"/>
                  <w:tcMar>
                    <w:left w:w="98" w:type="dxa"/>
                  </w:tcMar>
                  <w:vAlign w:val="center"/>
                </w:tcPr>
                <w:p>
                  <w:pPr>
                    <w:pStyle w:val="Normal"/>
                    <w:spacing w:lineRule="auto" w:line="240" w:before="0" w:after="0"/>
                    <w:rPr>
                      <w:rFonts w:ascii="Calibri" w:hAnsi="Calibri" w:eastAsia="Times New Roman" w:cs="Calibri"/>
                      <w:color w:val="000000"/>
                      <w:lang w:eastAsia="en-GB"/>
                    </w:rPr>
                  </w:pPr>
                  <w:r>
                    <w:rPr>
                      <w:rFonts w:eastAsia="Times New Roman" w:cs="Calibri"/>
                      <w:color w:val="000000"/>
                      <w:lang w:eastAsia="en-GB"/>
                    </w:rPr>
                    <w:t>dog bins</w:t>
                  </w:r>
                </w:p>
              </w:tc>
              <w:tc>
                <w:tcPr>
                  <w:tcW w:w="13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t>£276.20</w:t>
                  </w:r>
                </w:p>
              </w:tc>
              <w:tc>
                <w:tcPr>
                  <w:tcW w:w="225"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r>
                </w:p>
              </w:tc>
              <w:tc>
                <w:tcPr>
                  <w:tcW w:w="16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t>£780.00</w:t>
                  </w:r>
                </w:p>
              </w:tc>
              <w:tc>
                <w:tcPr>
                  <w:tcW w:w="224"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r>
                </w:p>
              </w:tc>
              <w:tc>
                <w:tcPr>
                  <w:tcW w:w="159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t>£1,056.20</w:t>
                  </w:r>
                </w:p>
              </w:tc>
              <w:tc>
                <w:tcPr>
                  <w:tcW w:w="285"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r>
                </w:p>
              </w:tc>
              <w:tc>
                <w:tcPr>
                  <w:tcW w:w="1470" w:type="dxa"/>
                  <w:tcBorders>
                    <w:top w:val="single" w:sz="4" w:space="0" w:color="00000A"/>
                    <w:left w:val="single" w:sz="4" w:space="0" w:color="00000A"/>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rPr>
                      <w:rFonts w:ascii="Calibri" w:hAnsi="Calibri" w:eastAsia="Times New Roman" w:cs="Calibri"/>
                      <w:color w:val="000000"/>
                      <w:lang w:eastAsia="en-GB"/>
                    </w:rPr>
                  </w:pPr>
                  <w:r>
                    <w:rPr>
                      <w:rFonts w:eastAsia="Times New Roman" w:cs="Calibri"/>
                      <w:color w:val="000000"/>
                      <w:lang w:eastAsia="en-GB"/>
                    </w:rPr>
                    <w:t>dog bins</w:t>
                  </w:r>
                </w:p>
              </w:tc>
              <w:tc>
                <w:tcPr>
                  <w:tcW w:w="124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t>£850.00</w:t>
                  </w:r>
                </w:p>
              </w:tc>
            </w:tr>
            <w:tr>
              <w:trPr>
                <w:trHeight w:val="288" w:hRule="atLeast"/>
              </w:trPr>
              <w:tc>
                <w:tcPr>
                  <w:tcW w:w="1529" w:type="dxa"/>
                  <w:tcBorders>
                    <w:top w:val="single" w:sz="4" w:space="0" w:color="00000A"/>
                    <w:left w:val="single" w:sz="4" w:space="0" w:color="00000A"/>
                    <w:bottom w:val="single" w:sz="4" w:space="0" w:color="00000A"/>
                    <w:right w:val="single" w:sz="4" w:space="0" w:color="000001"/>
                    <w:insideH w:val="single" w:sz="4" w:space="0" w:color="00000A"/>
                    <w:insideV w:val="single" w:sz="4" w:space="0" w:color="000001"/>
                  </w:tcBorders>
                  <w:shd w:color="auto" w:fill="auto" w:val="clear"/>
                  <w:tcMar>
                    <w:left w:w="98" w:type="dxa"/>
                  </w:tcMar>
                  <w:vAlign w:val="center"/>
                </w:tcPr>
                <w:p>
                  <w:pPr>
                    <w:pStyle w:val="Normal"/>
                    <w:spacing w:lineRule="auto" w:line="240" w:before="0" w:after="0"/>
                    <w:rPr>
                      <w:rFonts w:ascii="Calibri" w:hAnsi="Calibri" w:eastAsia="Times New Roman" w:cs="Calibri"/>
                      <w:color w:val="000000"/>
                      <w:lang w:eastAsia="en-GB"/>
                    </w:rPr>
                  </w:pPr>
                  <w:r>
                    <w:rPr>
                      <w:rFonts w:eastAsia="Times New Roman" w:cs="Calibri"/>
                      <w:color w:val="000000"/>
                      <w:lang w:eastAsia="en-GB"/>
                    </w:rPr>
                    <w:t>S107</w:t>
                  </w:r>
                </w:p>
              </w:tc>
              <w:tc>
                <w:tcPr>
                  <w:tcW w:w="13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t>£0.00</w:t>
                  </w:r>
                </w:p>
              </w:tc>
              <w:tc>
                <w:tcPr>
                  <w:tcW w:w="225"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r>
                </w:p>
              </w:tc>
              <w:tc>
                <w:tcPr>
                  <w:tcW w:w="16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t>£0.00</w:t>
                  </w:r>
                </w:p>
              </w:tc>
              <w:tc>
                <w:tcPr>
                  <w:tcW w:w="224"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r>
                </w:p>
              </w:tc>
              <w:tc>
                <w:tcPr>
                  <w:tcW w:w="159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t>£0.00</w:t>
                  </w:r>
                </w:p>
              </w:tc>
              <w:tc>
                <w:tcPr>
                  <w:tcW w:w="285"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r>
                </w:p>
              </w:tc>
              <w:tc>
                <w:tcPr>
                  <w:tcW w:w="1470" w:type="dxa"/>
                  <w:tcBorders>
                    <w:top w:val="single" w:sz="4" w:space="0" w:color="00000A"/>
                    <w:left w:val="single" w:sz="4" w:space="0" w:color="00000A"/>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rPr>
                      <w:rFonts w:ascii="Calibri" w:hAnsi="Calibri" w:eastAsia="Times New Roman" w:cs="Calibri"/>
                      <w:color w:val="000000"/>
                      <w:lang w:eastAsia="en-GB"/>
                    </w:rPr>
                  </w:pPr>
                  <w:r>
                    <w:rPr>
                      <w:rFonts w:eastAsia="Times New Roman" w:cs="Calibri"/>
                      <w:color w:val="000000"/>
                      <w:lang w:eastAsia="en-GB"/>
                    </w:rPr>
                    <w:t>Section 107</w:t>
                  </w:r>
                </w:p>
              </w:tc>
              <w:tc>
                <w:tcPr>
                  <w:tcW w:w="124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t>£1,250.00</w:t>
                  </w:r>
                </w:p>
              </w:tc>
            </w:tr>
            <w:tr>
              <w:trPr>
                <w:trHeight w:val="288" w:hRule="atLeast"/>
              </w:trPr>
              <w:tc>
                <w:tcPr>
                  <w:tcW w:w="1529" w:type="dxa"/>
                  <w:tcBorders>
                    <w:top w:val="single" w:sz="4" w:space="0" w:color="00000A"/>
                    <w:left w:val="single" w:sz="4" w:space="0" w:color="00000A"/>
                    <w:bottom w:val="single" w:sz="4" w:space="0" w:color="00000A"/>
                    <w:right w:val="single" w:sz="4" w:space="0" w:color="000001"/>
                    <w:insideH w:val="single" w:sz="4" w:space="0" w:color="00000A"/>
                    <w:insideV w:val="single" w:sz="4" w:space="0" w:color="000001"/>
                  </w:tcBorders>
                  <w:shd w:color="auto" w:fill="auto" w:val="clear"/>
                  <w:tcMar>
                    <w:left w:w="98" w:type="dxa"/>
                  </w:tcMar>
                  <w:vAlign w:val="center"/>
                </w:tcPr>
                <w:p>
                  <w:pPr>
                    <w:pStyle w:val="Normal"/>
                    <w:spacing w:lineRule="auto" w:line="240" w:before="0" w:after="0"/>
                    <w:rPr>
                      <w:rFonts w:ascii="Calibri" w:hAnsi="Calibri" w:eastAsia="Times New Roman" w:cs="Calibri"/>
                      <w:color w:val="000000"/>
                      <w:lang w:eastAsia="en-GB"/>
                    </w:rPr>
                  </w:pPr>
                  <w:r>
                    <w:rPr>
                      <w:rFonts w:eastAsia="Times New Roman" w:cs="Calibri"/>
                      <w:color w:val="000000"/>
                      <w:lang w:eastAsia="en-GB"/>
                    </w:rPr>
                    <w:t>other defib &amp; drains</w:t>
                  </w:r>
                </w:p>
              </w:tc>
              <w:tc>
                <w:tcPr>
                  <w:tcW w:w="13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t>£3,836.28</w:t>
                  </w:r>
                </w:p>
              </w:tc>
              <w:tc>
                <w:tcPr>
                  <w:tcW w:w="225"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r>
                </w:p>
              </w:tc>
              <w:tc>
                <w:tcPr>
                  <w:tcW w:w="16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t>10250,</w:t>
                  </w:r>
                </w:p>
              </w:tc>
              <w:tc>
                <w:tcPr>
                  <w:tcW w:w="224"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r>
                </w:p>
              </w:tc>
              <w:tc>
                <w:tcPr>
                  <w:tcW w:w="159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t>£3,836.28</w:t>
                  </w:r>
                </w:p>
              </w:tc>
              <w:tc>
                <w:tcPr>
                  <w:tcW w:w="285"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r>
                </w:p>
              </w:tc>
              <w:tc>
                <w:tcPr>
                  <w:tcW w:w="1470" w:type="dxa"/>
                  <w:tcBorders>
                    <w:top w:val="single" w:sz="4" w:space="0" w:color="00000A"/>
                    <w:left w:val="single" w:sz="4" w:space="0" w:color="00000A"/>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rPr>
                      <w:rFonts w:ascii="Calibri" w:hAnsi="Calibri" w:eastAsia="Times New Roman" w:cs="Calibri"/>
                      <w:color w:val="000000"/>
                      <w:lang w:eastAsia="en-GB"/>
                    </w:rPr>
                  </w:pPr>
                  <w:r>
                    <w:rPr>
                      <w:rFonts w:eastAsia="Times New Roman" w:cs="Calibri"/>
                      <w:color w:val="000000"/>
                      <w:lang w:eastAsia="en-GB"/>
                    </w:rPr>
                    <w:t>other</w:t>
                  </w:r>
                </w:p>
              </w:tc>
              <w:tc>
                <w:tcPr>
                  <w:tcW w:w="124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t>£1,000.00</w:t>
                  </w:r>
                </w:p>
              </w:tc>
            </w:tr>
            <w:tr>
              <w:trPr>
                <w:trHeight w:val="288" w:hRule="atLeast"/>
              </w:trPr>
              <w:tc>
                <w:tcPr>
                  <w:tcW w:w="1529" w:type="dxa"/>
                  <w:tcBorders>
                    <w:top w:val="single" w:sz="4" w:space="0" w:color="00000A"/>
                    <w:left w:val="single" w:sz="4" w:space="0" w:color="00000A"/>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rPr>
                      <w:rFonts w:ascii="Calibri" w:hAnsi="Calibri" w:eastAsia="Times New Roman" w:cs="Calibri"/>
                      <w:color w:val="000000"/>
                      <w:lang w:eastAsia="en-GB"/>
                    </w:rPr>
                  </w:pPr>
                  <w:r>
                    <w:rPr>
                      <w:rFonts w:eastAsia="Times New Roman" w:cs="Calibri"/>
                      <w:color w:val="000000"/>
                      <w:lang w:eastAsia="en-GB"/>
                    </w:rPr>
                    <w:t>Floor</w:t>
                  </w:r>
                </w:p>
              </w:tc>
              <w:tc>
                <w:tcPr>
                  <w:tcW w:w="13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t>£11,364.92</w:t>
                  </w:r>
                </w:p>
              </w:tc>
              <w:tc>
                <w:tcPr>
                  <w:tcW w:w="225"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r>
                </w:p>
              </w:tc>
              <w:tc>
                <w:tcPr>
                  <w:tcW w:w="16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t> </w:t>
                  </w:r>
                </w:p>
              </w:tc>
              <w:tc>
                <w:tcPr>
                  <w:tcW w:w="224"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r>
                </w:p>
              </w:tc>
              <w:tc>
                <w:tcPr>
                  <w:tcW w:w="159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rPr>
                      <w:rFonts w:ascii="Calibri" w:hAnsi="Calibri" w:eastAsia="Times New Roman" w:cs="Calibri"/>
                      <w:color w:val="000000"/>
                      <w:lang w:eastAsia="en-GB"/>
                    </w:rPr>
                  </w:pPr>
                  <w:r>
                    <w:rPr>
                      <w:rFonts w:eastAsia="Times New Roman" w:cs="Calibri"/>
                      <w:color w:val="000000"/>
                      <w:lang w:eastAsia="en-GB"/>
                    </w:rPr>
                    <w:t> </w:t>
                  </w:r>
                </w:p>
              </w:tc>
              <w:tc>
                <w:tcPr>
                  <w:tcW w:w="285"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rPr>
                      <w:rFonts w:ascii="Calibri" w:hAnsi="Calibri" w:eastAsia="Times New Roman" w:cs="Calibri"/>
                      <w:color w:val="000000"/>
                      <w:lang w:eastAsia="en-GB"/>
                    </w:rPr>
                  </w:pPr>
                  <w:r>
                    <w:rPr>
                      <w:rFonts w:eastAsia="Times New Roman" w:cs="Calibri"/>
                      <w:color w:val="000000"/>
                      <w:lang w:eastAsia="en-GB"/>
                    </w:rPr>
                  </w:r>
                </w:p>
              </w:tc>
              <w:tc>
                <w:tcPr>
                  <w:tcW w:w="1470" w:type="dxa"/>
                  <w:tcBorders>
                    <w:top w:val="single" w:sz="4" w:space="0" w:color="00000A"/>
                    <w:left w:val="single" w:sz="4" w:space="0" w:color="00000A"/>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rPr>
                      <w:rFonts w:ascii="Calibri" w:hAnsi="Calibri" w:eastAsia="Times New Roman" w:cs="Calibri"/>
                      <w:color w:val="000000"/>
                      <w:lang w:eastAsia="en-GB"/>
                    </w:rPr>
                  </w:pPr>
                  <w:r>
                    <w:rPr>
                      <w:rFonts w:eastAsia="Times New Roman" w:cs="Calibri"/>
                      <w:color w:val="000000"/>
                      <w:lang w:eastAsia="en-GB"/>
                    </w:rPr>
                    <w:t>vh floor</w:t>
                  </w:r>
                </w:p>
              </w:tc>
              <w:tc>
                <w:tcPr>
                  <w:tcW w:w="124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lang w:eastAsia="en-GB"/>
                    </w:rPr>
                  </w:pPr>
                  <w:r>
                    <w:rPr>
                      <w:rFonts w:eastAsia="Times New Roman" w:cs="Calibri"/>
                      <w:color w:val="000000"/>
                      <w:lang w:eastAsia="en-GB"/>
                    </w:rPr>
                    <w:t>£14,000.00</w:t>
                  </w:r>
                </w:p>
              </w:tc>
            </w:tr>
            <w:tr>
              <w:trPr>
                <w:trHeight w:val="288" w:hRule="atLeast"/>
              </w:trPr>
              <w:tc>
                <w:tcPr>
                  <w:tcW w:w="1529" w:type="dxa"/>
                  <w:tcBorders>
                    <w:top w:val="single" w:sz="4" w:space="0" w:color="00000A"/>
                    <w:left w:val="single" w:sz="4" w:space="0" w:color="00000A"/>
                    <w:bottom w:val="single" w:sz="4" w:space="0" w:color="00000A"/>
                    <w:right w:val="single" w:sz="4" w:space="0" w:color="000001"/>
                    <w:insideH w:val="single" w:sz="4" w:space="0" w:color="00000A"/>
                    <w:insideV w:val="single" w:sz="4" w:space="0" w:color="000001"/>
                  </w:tcBorders>
                  <w:shd w:color="000000" w:fill="FFFF00" w:val="clear"/>
                  <w:tcMar>
                    <w:left w:w="98" w:type="dxa"/>
                  </w:tcMar>
                  <w:vAlign w:val="center"/>
                </w:tcPr>
                <w:p>
                  <w:pPr>
                    <w:pStyle w:val="Normal"/>
                    <w:spacing w:lineRule="auto" w:line="240" w:before="0" w:after="0"/>
                    <w:jc w:val="center"/>
                    <w:rPr>
                      <w:rFonts w:ascii="Calibri" w:hAnsi="Calibri" w:eastAsia="Times New Roman" w:cs="Calibri"/>
                      <w:b/>
                      <w:b/>
                      <w:bCs/>
                      <w:color w:val="000000"/>
                      <w:lang w:eastAsia="en-GB"/>
                    </w:rPr>
                  </w:pPr>
                  <w:r>
                    <w:rPr>
                      <w:rFonts w:eastAsia="Times New Roman" w:cs="Calibri"/>
                      <w:b/>
                      <w:bCs/>
                      <w:color w:val="000000"/>
                      <w:lang w:eastAsia="en-GB"/>
                    </w:rPr>
                    <w:t>TOTAL SPEND TO DATE</w:t>
                  </w:r>
                </w:p>
              </w:tc>
              <w:tc>
                <w:tcPr>
                  <w:tcW w:w="13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000000" w:fill="FFFF00" w:val="clear"/>
                  <w:tcMar>
                    <w:left w:w="98" w:type="dxa"/>
                  </w:tcMar>
                  <w:vAlign w:val="bottom"/>
                </w:tcPr>
                <w:p>
                  <w:pPr>
                    <w:pStyle w:val="Normal"/>
                    <w:spacing w:lineRule="auto" w:line="240" w:before="0" w:after="0"/>
                    <w:jc w:val="right"/>
                    <w:rPr>
                      <w:rFonts w:ascii="Calibri" w:hAnsi="Calibri" w:eastAsia="Times New Roman" w:cs="Calibri"/>
                      <w:b/>
                      <w:b/>
                      <w:bCs/>
                      <w:color w:val="000000"/>
                      <w:lang w:eastAsia="en-GB"/>
                    </w:rPr>
                  </w:pPr>
                  <w:r>
                    <w:rPr>
                      <w:rFonts w:eastAsia="Times New Roman" w:cs="Calibri"/>
                      <w:b/>
                      <w:bCs/>
                      <w:color w:val="000000"/>
                      <w:lang w:eastAsia="en-GB"/>
                    </w:rPr>
                    <w:t>£30,240.66</w:t>
                  </w:r>
                </w:p>
              </w:tc>
              <w:tc>
                <w:tcPr>
                  <w:tcW w:w="225"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jc w:val="right"/>
                    <w:rPr>
                      <w:rFonts w:ascii="Calibri" w:hAnsi="Calibri" w:eastAsia="Times New Roman" w:cs="Calibri"/>
                      <w:b/>
                      <w:b/>
                      <w:bCs/>
                      <w:color w:val="000000"/>
                      <w:lang w:eastAsia="en-GB"/>
                    </w:rPr>
                  </w:pPr>
                  <w:r>
                    <w:rPr>
                      <w:rFonts w:eastAsia="Times New Roman" w:cs="Calibri"/>
                      <w:b/>
                      <w:bCs/>
                      <w:color w:val="000000"/>
                      <w:lang w:eastAsia="en-GB"/>
                    </w:rPr>
                  </w:r>
                </w:p>
              </w:tc>
              <w:tc>
                <w:tcPr>
                  <w:tcW w:w="16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000000" w:fill="E2EFDA" w:val="clear"/>
                  <w:tcMar>
                    <w:left w:w="98" w:type="dxa"/>
                  </w:tcMar>
                  <w:vAlign w:val="bottom"/>
                </w:tcPr>
                <w:p>
                  <w:pPr>
                    <w:pStyle w:val="Normal"/>
                    <w:spacing w:lineRule="auto" w:line="240" w:before="0" w:after="0"/>
                    <w:jc w:val="right"/>
                    <w:rPr>
                      <w:rFonts w:ascii="Calibri" w:hAnsi="Calibri" w:eastAsia="Times New Roman" w:cs="Calibri"/>
                      <w:b/>
                      <w:b/>
                      <w:bCs/>
                      <w:color w:val="000000"/>
                      <w:lang w:eastAsia="en-GB"/>
                    </w:rPr>
                  </w:pPr>
                  <w:r>
                    <w:rPr>
                      <w:rFonts w:eastAsia="Times New Roman" w:cs="Calibri"/>
                      <w:b/>
                      <w:bCs/>
                      <w:color w:val="000000"/>
                      <w:lang w:eastAsia="en-GB"/>
                    </w:rPr>
                    <w:t>£4,770.00</w:t>
                  </w:r>
                </w:p>
              </w:tc>
              <w:tc>
                <w:tcPr>
                  <w:tcW w:w="224"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jc w:val="right"/>
                    <w:rPr>
                      <w:rFonts w:ascii="Calibri" w:hAnsi="Calibri" w:eastAsia="Times New Roman" w:cs="Calibri"/>
                      <w:b/>
                      <w:b/>
                      <w:bCs/>
                      <w:color w:val="000000"/>
                      <w:lang w:eastAsia="en-GB"/>
                    </w:rPr>
                  </w:pPr>
                  <w:r>
                    <w:rPr>
                      <w:rFonts w:eastAsia="Times New Roman" w:cs="Calibri"/>
                      <w:b/>
                      <w:bCs/>
                      <w:color w:val="000000"/>
                      <w:lang w:eastAsia="en-GB"/>
                    </w:rPr>
                  </w:r>
                </w:p>
              </w:tc>
              <w:tc>
                <w:tcPr>
                  <w:tcW w:w="159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000000" w:fill="FFE699" w:val="clear"/>
                  <w:tcMar>
                    <w:left w:w="98" w:type="dxa"/>
                  </w:tcMar>
                  <w:vAlign w:val="bottom"/>
                </w:tcPr>
                <w:p>
                  <w:pPr>
                    <w:pStyle w:val="Normal"/>
                    <w:spacing w:lineRule="auto" w:line="240" w:before="0" w:after="0"/>
                    <w:jc w:val="right"/>
                    <w:rPr>
                      <w:rFonts w:ascii="Calibri" w:hAnsi="Calibri" w:eastAsia="Times New Roman" w:cs="Calibri"/>
                      <w:b/>
                      <w:b/>
                      <w:bCs/>
                      <w:color w:val="000000"/>
                      <w:lang w:eastAsia="en-GB"/>
                    </w:rPr>
                  </w:pPr>
                  <w:r>
                    <w:rPr>
                      <w:rFonts w:eastAsia="Times New Roman" w:cs="Calibri"/>
                      <w:b/>
                      <w:bCs/>
                      <w:color w:val="000000"/>
                      <w:lang w:eastAsia="en-GB"/>
                    </w:rPr>
                    <w:t>£35,010.66</w:t>
                  </w:r>
                </w:p>
              </w:tc>
              <w:tc>
                <w:tcPr>
                  <w:tcW w:w="285"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jc w:val="right"/>
                    <w:rPr>
                      <w:rFonts w:ascii="Calibri" w:hAnsi="Calibri" w:eastAsia="Times New Roman" w:cs="Calibri"/>
                      <w:b/>
                      <w:b/>
                      <w:bCs/>
                      <w:color w:val="000000"/>
                      <w:lang w:eastAsia="en-GB"/>
                    </w:rPr>
                  </w:pPr>
                  <w:r>
                    <w:rPr>
                      <w:rFonts w:eastAsia="Times New Roman" w:cs="Calibri"/>
                      <w:b/>
                      <w:bCs/>
                      <w:color w:val="000000"/>
                      <w:lang w:eastAsia="en-GB"/>
                    </w:rPr>
                  </w:r>
                </w:p>
              </w:tc>
              <w:tc>
                <w:tcPr>
                  <w:tcW w:w="1470" w:type="dxa"/>
                  <w:tcBorders>
                    <w:top w:val="single" w:sz="4" w:space="0" w:color="00000A"/>
                    <w:left w:val="single" w:sz="4" w:space="0" w:color="00000A"/>
                    <w:bottom w:val="single" w:sz="4" w:space="0" w:color="00000A"/>
                    <w:right w:val="single" w:sz="4" w:space="0" w:color="000001"/>
                    <w:insideH w:val="single" w:sz="4" w:space="0" w:color="00000A"/>
                    <w:insideV w:val="single" w:sz="4" w:space="0" w:color="000001"/>
                  </w:tcBorders>
                  <w:shd w:color="000000" w:fill="D9E1F2" w:val="clear"/>
                  <w:tcMar>
                    <w:left w:w="98" w:type="dxa"/>
                  </w:tcMar>
                  <w:vAlign w:val="bottom"/>
                </w:tcPr>
                <w:p>
                  <w:pPr>
                    <w:pStyle w:val="Normal"/>
                    <w:spacing w:lineRule="auto" w:line="240" w:before="0" w:after="0"/>
                    <w:rPr>
                      <w:rFonts w:ascii="Calibri" w:hAnsi="Calibri" w:eastAsia="Times New Roman" w:cs="Calibri"/>
                      <w:b/>
                      <w:b/>
                      <w:bCs/>
                      <w:color w:val="000000"/>
                      <w:lang w:eastAsia="en-GB"/>
                    </w:rPr>
                  </w:pPr>
                  <w:r>
                    <w:rPr>
                      <w:rFonts w:eastAsia="Times New Roman" w:cs="Calibri"/>
                      <w:b/>
                      <w:bCs/>
                      <w:color w:val="000000"/>
                      <w:lang w:eastAsia="en-GB"/>
                    </w:rPr>
                    <w:t>TOTAL</w:t>
                  </w:r>
                </w:p>
              </w:tc>
              <w:tc>
                <w:tcPr>
                  <w:tcW w:w="124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000000" w:fill="D9E1F2" w:val="clear"/>
                  <w:tcMar>
                    <w:left w:w="98" w:type="dxa"/>
                  </w:tcMar>
                  <w:vAlign w:val="bottom"/>
                </w:tcPr>
                <w:p>
                  <w:pPr>
                    <w:pStyle w:val="Normal"/>
                    <w:spacing w:lineRule="auto" w:line="240" w:before="0" w:after="0"/>
                    <w:jc w:val="right"/>
                    <w:rPr>
                      <w:rFonts w:ascii="Calibri" w:hAnsi="Calibri" w:eastAsia="Times New Roman" w:cs="Calibri"/>
                      <w:b/>
                      <w:b/>
                      <w:bCs/>
                      <w:color w:val="000000"/>
                      <w:lang w:eastAsia="en-GB"/>
                    </w:rPr>
                  </w:pPr>
                  <w:r>
                    <w:rPr>
                      <w:rFonts w:eastAsia="Times New Roman" w:cs="Calibri"/>
                      <w:b/>
                      <w:bCs/>
                      <w:color w:val="000000"/>
                      <w:lang w:eastAsia="en-GB"/>
                    </w:rPr>
                    <w:t>£35,575.00</w:t>
                  </w:r>
                </w:p>
              </w:tc>
            </w:tr>
            <w:tr>
              <w:trPr>
                <w:trHeight w:val="288" w:hRule="atLeast"/>
              </w:trPr>
              <w:tc>
                <w:tcPr>
                  <w:tcW w:w="1529" w:type="dxa"/>
                  <w:tcBorders>
                    <w:top w:val="single" w:sz="4" w:space="0" w:color="00000A"/>
                    <w:left w:val="single" w:sz="4" w:space="0" w:color="00000A"/>
                    <w:bottom w:val="single" w:sz="4" w:space="0" w:color="00000A"/>
                    <w:right w:val="single" w:sz="4" w:space="0" w:color="000001"/>
                    <w:insideH w:val="single" w:sz="4" w:space="0" w:color="00000A"/>
                    <w:insideV w:val="single" w:sz="4" w:space="0" w:color="000001"/>
                  </w:tcBorders>
                  <w:shd w:color="auto" w:fill="auto" w:val="clear"/>
                  <w:tcMar>
                    <w:left w:w="98" w:type="dxa"/>
                  </w:tcMar>
                  <w:vAlign w:val="center"/>
                </w:tcPr>
                <w:p>
                  <w:pPr>
                    <w:pStyle w:val="Normal"/>
                    <w:spacing w:lineRule="auto" w:line="240" w:before="0" w:after="0"/>
                    <w:jc w:val="center"/>
                    <w:rPr>
                      <w:rFonts w:ascii="Calibri" w:hAnsi="Calibri" w:eastAsia="Times New Roman" w:cs="Calibri"/>
                      <w:color w:val="000000"/>
                      <w:sz w:val="20"/>
                      <w:szCs w:val="20"/>
                      <w:lang w:eastAsia="en-GB"/>
                    </w:rPr>
                  </w:pPr>
                  <w:r>
                    <w:rPr>
                      <w:rFonts w:eastAsia="Times New Roman" w:cs="Calibri"/>
                      <w:color w:val="000000"/>
                      <w:sz w:val="20"/>
                      <w:szCs w:val="20"/>
                      <w:lang w:eastAsia="en-GB"/>
                    </w:rPr>
                    <w:t>(to 1 November 2018)</w:t>
                  </w:r>
                </w:p>
              </w:tc>
              <w:tc>
                <w:tcPr>
                  <w:tcW w:w="130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rPr>
                      <w:rFonts w:ascii="Calibri" w:hAnsi="Calibri" w:eastAsia="Times New Roman" w:cs="Calibri"/>
                      <w:color w:val="000000"/>
                      <w:sz w:val="20"/>
                      <w:szCs w:val="20"/>
                      <w:lang w:eastAsia="en-GB"/>
                    </w:rPr>
                  </w:pPr>
                  <w:r>
                    <w:rPr>
                      <w:rFonts w:eastAsia="Times New Roman" w:cs="Calibri"/>
                      <w:color w:val="000000"/>
                      <w:sz w:val="20"/>
                      <w:szCs w:val="20"/>
                      <w:lang w:eastAsia="en-GB"/>
                    </w:rPr>
                    <w:t> </w:t>
                  </w:r>
                </w:p>
              </w:tc>
              <w:tc>
                <w:tcPr>
                  <w:tcW w:w="225"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rPr>
                      <w:rFonts w:ascii="Calibri" w:hAnsi="Calibri" w:eastAsia="Times New Roman" w:cs="Calibri"/>
                      <w:color w:val="000000"/>
                      <w:sz w:val="20"/>
                      <w:szCs w:val="20"/>
                      <w:lang w:eastAsia="en-GB"/>
                    </w:rPr>
                  </w:pPr>
                  <w:r>
                    <w:rPr>
                      <w:rFonts w:eastAsia="Times New Roman" w:cs="Calibri"/>
                      <w:color w:val="000000"/>
                      <w:sz w:val="20"/>
                      <w:szCs w:val="20"/>
                      <w:lang w:eastAsia="en-GB"/>
                    </w:rPr>
                    <w:t> </w:t>
                  </w:r>
                </w:p>
              </w:tc>
              <w:tc>
                <w:tcPr>
                  <w:tcW w:w="16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right"/>
                    <w:rPr>
                      <w:rFonts w:ascii="Calibri" w:hAnsi="Calibri" w:eastAsia="Times New Roman" w:cs="Calibri"/>
                      <w:color w:val="000000"/>
                      <w:sz w:val="20"/>
                      <w:szCs w:val="20"/>
                      <w:lang w:eastAsia="en-GB"/>
                    </w:rPr>
                  </w:pPr>
                  <w:r>
                    <w:rPr>
                      <w:rFonts w:eastAsia="Times New Roman" w:cs="Calibri"/>
                      <w:color w:val="000000"/>
                      <w:sz w:val="20"/>
                      <w:szCs w:val="20"/>
                      <w:lang w:eastAsia="en-GB"/>
                    </w:rPr>
                    <w:t>(Nov  2018 to Mar 2019)</w:t>
                  </w:r>
                </w:p>
              </w:tc>
              <w:tc>
                <w:tcPr>
                  <w:tcW w:w="224"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rPr>
                      <w:rFonts w:ascii="Calibri" w:hAnsi="Calibri" w:eastAsia="Times New Roman" w:cs="Calibri"/>
                      <w:color w:val="000000"/>
                      <w:sz w:val="20"/>
                      <w:szCs w:val="20"/>
                      <w:lang w:eastAsia="en-GB"/>
                    </w:rPr>
                  </w:pPr>
                  <w:r>
                    <w:rPr>
                      <w:rFonts w:eastAsia="Times New Roman" w:cs="Calibri"/>
                      <w:color w:val="000000"/>
                      <w:sz w:val="20"/>
                      <w:szCs w:val="20"/>
                      <w:lang w:eastAsia="en-GB"/>
                    </w:rPr>
                    <w:t> </w:t>
                  </w:r>
                </w:p>
              </w:tc>
              <w:tc>
                <w:tcPr>
                  <w:tcW w:w="159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jc w:val="center"/>
                    <w:rPr>
                      <w:rFonts w:ascii="Calibri" w:hAnsi="Calibri" w:eastAsia="Times New Roman" w:cs="Calibri"/>
                      <w:color w:val="000000"/>
                      <w:sz w:val="20"/>
                      <w:szCs w:val="20"/>
                      <w:lang w:eastAsia="en-GB"/>
                    </w:rPr>
                  </w:pPr>
                  <w:r>
                    <w:rPr>
                      <w:rFonts w:eastAsia="Times New Roman" w:cs="Calibri"/>
                      <w:color w:val="000000"/>
                      <w:sz w:val="20"/>
                      <w:szCs w:val="20"/>
                      <w:lang w:eastAsia="en-GB"/>
                    </w:rPr>
                    <w:t>(ACTUAL + ANTICIPATED)</w:t>
                  </w:r>
                </w:p>
              </w:tc>
              <w:tc>
                <w:tcPr>
                  <w:tcW w:w="285"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jc w:val="center"/>
                    <w:rPr>
                      <w:rFonts w:ascii="Calibri" w:hAnsi="Calibri" w:eastAsia="Times New Roman" w:cs="Calibri"/>
                      <w:color w:val="000000"/>
                      <w:sz w:val="20"/>
                      <w:szCs w:val="20"/>
                      <w:lang w:eastAsia="en-GB"/>
                    </w:rPr>
                  </w:pPr>
                  <w:r>
                    <w:rPr>
                      <w:rFonts w:eastAsia="Times New Roman" w:cs="Calibri"/>
                      <w:color w:val="000000"/>
                      <w:sz w:val="20"/>
                      <w:szCs w:val="20"/>
                      <w:lang w:eastAsia="en-GB"/>
                    </w:rPr>
                  </w:r>
                </w:p>
              </w:tc>
              <w:tc>
                <w:tcPr>
                  <w:tcW w:w="1470" w:type="dxa"/>
                  <w:tcBorders>
                    <w:top w:val="single" w:sz="4" w:space="0" w:color="00000A"/>
                    <w:left w:val="single" w:sz="4" w:space="0" w:color="00000A"/>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rPr>
                      <w:rFonts w:ascii="Calibri" w:hAnsi="Calibri" w:eastAsia="Times New Roman" w:cs="Calibri"/>
                      <w:color w:val="000000"/>
                      <w:sz w:val="20"/>
                      <w:szCs w:val="20"/>
                      <w:lang w:eastAsia="en-GB"/>
                    </w:rPr>
                  </w:pPr>
                  <w:r>
                    <w:rPr>
                      <w:rFonts w:eastAsia="Times New Roman" w:cs="Calibri"/>
                      <w:color w:val="000000"/>
                      <w:sz w:val="20"/>
                      <w:szCs w:val="20"/>
                      <w:lang w:eastAsia="en-GB"/>
                    </w:rPr>
                    <w:t> </w:t>
                  </w:r>
                </w:p>
              </w:tc>
              <w:tc>
                <w:tcPr>
                  <w:tcW w:w="124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8" w:type="dxa"/>
                  </w:tcMar>
                  <w:vAlign w:val="bottom"/>
                </w:tcPr>
                <w:p>
                  <w:pPr>
                    <w:pStyle w:val="Normal"/>
                    <w:spacing w:lineRule="auto" w:line="240" w:before="0" w:after="0"/>
                    <w:rPr>
                      <w:rFonts w:ascii="Calibri" w:hAnsi="Calibri" w:eastAsia="Times New Roman" w:cs="Calibri"/>
                      <w:color w:val="000000"/>
                      <w:sz w:val="20"/>
                      <w:szCs w:val="20"/>
                      <w:lang w:eastAsia="en-GB"/>
                    </w:rPr>
                  </w:pPr>
                  <w:r>
                    <w:rPr>
                      <w:rFonts w:eastAsia="Times New Roman" w:cs="Calibri"/>
                      <w:color w:val="000000"/>
                      <w:sz w:val="20"/>
                      <w:szCs w:val="20"/>
                      <w:lang w:eastAsia="en-GB"/>
                    </w:rPr>
                    <w:t> </w:t>
                  </w:r>
                </w:p>
              </w:tc>
            </w:tr>
            <w:tr>
              <w:trPr>
                <w:trHeight w:val="288" w:hRule="atLeast"/>
              </w:trPr>
              <w:tc>
                <w:tcPr>
                  <w:tcW w:w="2834" w:type="dxa"/>
                  <w:gridSpan w:val="2"/>
                  <w:tcBorders>
                    <w:top w:val="single" w:sz="4" w:space="0" w:color="00000A"/>
                    <w:left w:val="single" w:sz="4" w:space="0" w:color="00000A"/>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rPr>
                      <w:rFonts w:ascii="Calibri" w:hAnsi="Calibri" w:eastAsia="Times New Roman" w:cs="Calibri"/>
                      <w:b/>
                      <w:b/>
                      <w:bCs/>
                      <w:color w:val="000000"/>
                      <w:lang w:eastAsia="en-GB"/>
                    </w:rPr>
                  </w:pPr>
                  <w:r>
                    <w:rPr>
                      <w:rFonts w:eastAsia="Times New Roman" w:cs="Calibri"/>
                      <w:b/>
                      <w:bCs/>
                      <w:color w:val="000000"/>
                      <w:lang w:eastAsia="en-GB"/>
                    </w:rPr>
                    <w:t>TOTAL INCOME to date £30,382</w:t>
                  </w:r>
                </w:p>
              </w:tc>
              <w:tc>
                <w:tcPr>
                  <w:tcW w:w="225"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rPr>
                      <w:rFonts w:ascii="Calibri" w:hAnsi="Calibri" w:eastAsia="Times New Roman" w:cs="Calibri"/>
                      <w:b/>
                      <w:b/>
                      <w:bCs/>
                      <w:color w:val="000000"/>
                      <w:lang w:eastAsia="en-GB"/>
                    </w:rPr>
                  </w:pPr>
                  <w:r>
                    <w:rPr>
                      <w:rFonts w:eastAsia="Times New Roman" w:cs="Calibri"/>
                      <w:b/>
                      <w:bCs/>
                      <w:color w:val="000000"/>
                      <w:lang w:eastAsia="en-GB"/>
                    </w:rPr>
                  </w:r>
                </w:p>
              </w:tc>
              <w:tc>
                <w:tcPr>
                  <w:tcW w:w="1650"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r>
                </w:p>
              </w:tc>
              <w:tc>
                <w:tcPr>
                  <w:tcW w:w="224"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jc w:val="right"/>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r>
                </w:p>
              </w:tc>
              <w:tc>
                <w:tcPr>
                  <w:tcW w:w="1590"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r>
                </w:p>
              </w:tc>
              <w:tc>
                <w:tcPr>
                  <w:tcW w:w="285"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r>
                </w:p>
              </w:tc>
              <w:tc>
                <w:tcPr>
                  <w:tcW w:w="1470"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r>
                </w:p>
              </w:tc>
              <w:tc>
                <w:tcPr>
                  <w:tcW w:w="1246" w:type="dxa"/>
                  <w:tcBorders>
                    <w:top w:val="single" w:sz="4" w:space="0" w:color="00000A"/>
                    <w:left w:val="single" w:sz="4" w:space="0" w:color="000001"/>
                    <w:bottom w:val="single" w:sz="4" w:space="0" w:color="00000A"/>
                    <w:right w:val="single" w:sz="4" w:space="0" w:color="000001"/>
                    <w:insideH w:val="single" w:sz="4" w:space="0" w:color="00000A"/>
                    <w:insideV w:val="single" w:sz="4" w:space="0" w:color="000001"/>
                  </w:tcBorders>
                  <w:shd w:color="auto" w:fill="auto" w:val="clear"/>
                  <w:tcMar>
                    <w:left w:w="98" w:type="dxa"/>
                  </w:tcMar>
                  <w:vAlign w:val="bottom"/>
                </w:tcPr>
                <w:p>
                  <w:pPr>
                    <w:pStyle w:val="Normal"/>
                    <w:spacing w:lineRule="auto" w:line="240" w:before="0" w:after="0"/>
                    <w:rPr>
                      <w:rFonts w:ascii="Times New Roman" w:hAnsi="Times New Roman" w:eastAsia="Times New Roman" w:cs="Times New Roman"/>
                      <w:sz w:val="20"/>
                      <w:szCs w:val="20"/>
                      <w:lang w:eastAsia="en-GB"/>
                    </w:rPr>
                  </w:pPr>
                  <w:r>
                    <w:rPr>
                      <w:rFonts w:eastAsia="Times New Roman" w:cs="Times New Roman" w:ascii="Times New Roman" w:hAnsi="Times New Roman"/>
                      <w:sz w:val="20"/>
                      <w:szCs w:val="20"/>
                      <w:lang w:eastAsia="en-GB"/>
                    </w:rPr>
                  </w:r>
                </w:p>
              </w:tc>
            </w:tr>
          </w:tbl>
          <w:p>
            <w:pPr>
              <w:pStyle w:val="Normal"/>
              <w:rPr>
                <w:b/>
                <w:b/>
                <w:sz w:val="28"/>
                <w:szCs w:val="28"/>
              </w:rPr>
            </w:pPr>
            <w:r>
              <w:rPr>
                <w:b/>
                <w:sz w:val="28"/>
                <w:szCs w:val="28"/>
              </w:rPr>
            </w:r>
          </w:p>
          <w:p>
            <w:pPr>
              <w:pStyle w:val="Normal"/>
              <w:spacing w:before="0" w:after="160"/>
              <w:rPr>
                <w:rFonts w:ascii="Calibri" w:hAnsi="Calibri" w:eastAsia="Times New Roman" w:cs="Calibri"/>
                <w:color w:val="000000"/>
                <w:sz w:val="24"/>
                <w:szCs w:val="24"/>
                <w:lang w:eastAsia="en-GB"/>
              </w:rPr>
            </w:pPr>
            <w:r>
              <w:rPr>
                <w:rFonts w:eastAsia="Times New Roman" w:cs="Calibri"/>
                <w:color w:val="000000"/>
                <w:sz w:val="24"/>
                <w:szCs w:val="24"/>
                <w:lang w:eastAsia="en-GB"/>
              </w:rPr>
            </w:r>
          </w:p>
        </w:tc>
        <w:tc>
          <w:tcPr>
            <w:tcW w:w="1161" w:type="dxa"/>
            <w:tcBorders/>
            <w:shd w:color="auto" w:fill="auto" w:val="clear"/>
            <w:vAlign w:val="bottom"/>
          </w:tcPr>
          <w:p>
            <w:pPr>
              <w:pStyle w:val="Normal"/>
              <w:spacing w:lineRule="auto" w:line="240" w:before="0" w:after="0"/>
              <w:jc w:val="center"/>
              <w:rPr>
                <w:rFonts w:ascii="Calibri" w:hAnsi="Calibri" w:eastAsia="Times New Roman" w:cs="Calibri"/>
                <w:color w:val="000000"/>
                <w:sz w:val="24"/>
                <w:szCs w:val="24"/>
                <w:lang w:eastAsia="en-GB"/>
              </w:rPr>
            </w:pPr>
            <w:r>
              <w:rPr>
                <w:rFonts w:eastAsia="Times New Roman" w:cs="Calibri"/>
                <w:color w:val="000000"/>
                <w:sz w:val="24"/>
                <w:szCs w:val="24"/>
                <w:lang w:eastAsia="en-GB"/>
              </w:rPr>
            </w:r>
          </w:p>
        </w:tc>
        <w:tc>
          <w:tcPr>
            <w:tcW w:w="2831" w:type="dxa"/>
            <w:tcBorders/>
            <w:shd w:color="auto" w:fill="auto" w:val="clear"/>
            <w:vAlign w:val="bottom"/>
          </w:tcPr>
          <w:p>
            <w:pPr>
              <w:pStyle w:val="Normal"/>
              <w:spacing w:lineRule="auto" w:line="240" w:before="0" w:after="0"/>
              <w:rPr>
                <w:rFonts w:ascii="Calibri" w:hAnsi="Calibri" w:eastAsia="Times New Roman" w:cs="Calibri"/>
                <w:color w:val="000000"/>
                <w:sz w:val="24"/>
                <w:szCs w:val="24"/>
                <w:lang w:eastAsia="en-GB"/>
              </w:rPr>
            </w:pPr>
            <w:r>
              <w:rPr>
                <w:rFonts w:eastAsia="Times New Roman" w:cs="Calibri"/>
                <w:color w:val="000000"/>
                <w:sz w:val="24"/>
                <w:szCs w:val="24"/>
                <w:lang w:eastAsia="en-GB"/>
              </w:rPr>
            </w:r>
          </w:p>
        </w:tc>
        <w:tc>
          <w:tcPr>
            <w:tcW w:w="2979" w:type="dxa"/>
            <w:tcBorders/>
            <w:shd w:color="auto" w:fill="auto" w:val="clear"/>
            <w:vAlign w:val="bottom"/>
          </w:tcPr>
          <w:p>
            <w:pPr>
              <w:pStyle w:val="Normal"/>
              <w:spacing w:lineRule="auto" w:line="240" w:before="0" w:after="0"/>
              <w:rPr>
                <w:rFonts w:ascii="Calibri" w:hAnsi="Calibri" w:eastAsia="Times New Roman" w:cs="Calibri"/>
                <w:color w:val="000000"/>
                <w:sz w:val="24"/>
                <w:szCs w:val="24"/>
                <w:lang w:eastAsia="en-GB"/>
              </w:rPr>
            </w:pPr>
            <w:r>
              <w:rPr>
                <w:rFonts w:eastAsia="Times New Roman" w:cs="Calibri"/>
                <w:color w:val="000000"/>
                <w:sz w:val="24"/>
                <w:szCs w:val="24"/>
                <w:lang w:eastAsia="en-GB"/>
              </w:rPr>
            </w:r>
          </w:p>
        </w:tc>
        <w:tc>
          <w:tcPr>
            <w:tcW w:w="2002" w:type="dxa"/>
            <w:tcBorders/>
            <w:shd w:color="auto" w:fill="auto" w:val="clear"/>
            <w:vAlign w:val="bottom"/>
          </w:tcPr>
          <w:p>
            <w:pPr>
              <w:pStyle w:val="Normal"/>
              <w:spacing w:lineRule="auto" w:line="240" w:before="0" w:after="0"/>
              <w:jc w:val="right"/>
              <w:rPr>
                <w:rFonts w:ascii="Calibri" w:hAnsi="Calibri" w:eastAsia="Times New Roman" w:cs="Calibri"/>
                <w:color w:val="000000"/>
                <w:sz w:val="24"/>
                <w:szCs w:val="24"/>
                <w:lang w:eastAsia="en-GB"/>
              </w:rPr>
            </w:pPr>
            <w:r>
              <w:rPr>
                <w:rFonts w:eastAsia="Times New Roman" w:cs="Calibri"/>
                <w:color w:val="000000"/>
                <w:sz w:val="24"/>
                <w:szCs w:val="24"/>
                <w:lang w:eastAsia="en-GB"/>
              </w:rPr>
            </w:r>
          </w:p>
        </w:tc>
      </w:tr>
    </w:tbl>
    <w:p>
      <w:pPr>
        <w:pStyle w:val="Normal"/>
        <w:spacing w:before="0" w:after="0"/>
        <w:rPr>
          <w:b/>
          <w:b/>
          <w:sz w:val="24"/>
          <w:szCs w:val="24"/>
        </w:rPr>
      </w:pPr>
      <w:r>
        <w:rPr>
          <w:b/>
          <w:sz w:val="24"/>
          <w:szCs w:val="24"/>
        </w:rPr>
        <w:t xml:space="preserve">8. </w:t>
      </w:r>
      <w:r>
        <w:rPr>
          <w:sz w:val="24"/>
          <w:szCs w:val="24"/>
        </w:rPr>
        <w:t xml:space="preserve"> </w:t>
        <w:tab/>
      </w:r>
      <w:r>
        <w:rPr>
          <w:b/>
          <w:sz w:val="24"/>
          <w:szCs w:val="24"/>
        </w:rPr>
        <w:t xml:space="preserve">Planning Applications: </w:t>
      </w:r>
    </w:p>
    <w:p>
      <w:pPr>
        <w:pStyle w:val="Normal"/>
        <w:spacing w:before="0" w:after="0"/>
        <w:rPr>
          <w:b/>
          <w:b/>
          <w:sz w:val="24"/>
          <w:szCs w:val="24"/>
        </w:rPr>
      </w:pPr>
      <w:r>
        <w:rPr>
          <w:b/>
          <w:sz w:val="24"/>
          <w:szCs w:val="24"/>
        </w:rPr>
      </w:r>
    </w:p>
    <w:p>
      <w:pPr>
        <w:pStyle w:val="Normal"/>
        <w:ind w:left="720" w:hanging="0"/>
        <w:rPr>
          <w:sz w:val="24"/>
          <w:szCs w:val="24"/>
        </w:rPr>
      </w:pPr>
      <w:r>
        <w:rPr>
          <w:sz w:val="24"/>
          <w:szCs w:val="24"/>
        </w:rPr>
        <w:t>2018/2472 – 32 Tottington Lane. Partial demolition of existing single storey rear extension, construction of two-storey rear extension: installation of solar panels to front of property. Approved with no comments,</w:t>
      </w:r>
    </w:p>
    <w:p>
      <w:pPr>
        <w:pStyle w:val="Normal"/>
        <w:ind w:left="720" w:hanging="0"/>
        <w:rPr>
          <w:sz w:val="24"/>
          <w:szCs w:val="24"/>
        </w:rPr>
      </w:pPr>
      <w:r>
        <w:rPr>
          <w:sz w:val="24"/>
          <w:szCs w:val="24"/>
        </w:rPr>
        <w:t xml:space="preserve">2018/2566 – 4 Farm Close. Erection of single storey rear extension. Approved with no comments </w:t>
      </w:r>
    </w:p>
    <w:p>
      <w:pPr>
        <w:pStyle w:val="Normal"/>
        <w:spacing w:before="0" w:after="0"/>
        <w:rPr/>
      </w:pPr>
      <w:r>
        <w:rPr>
          <w:sz w:val="24"/>
          <w:szCs w:val="24"/>
        </w:rPr>
        <w:t xml:space="preserve">The Greater Norwich Local Plan Regulation 18 Consultation – New, Revised and Small Sites 29 October – 14 December 2018 was discussed as issues were raised that a 50 hectare site in Roydon (which was listed as being in Diss ) had been identified as potential housing and, at 25 houses per hectare, could be a potential additional 1,250 houses for the Village. Main issues are that current road infrastructure will be unable to cope with this large-scale development which would double the size of the Parish of Roydon. Councillors were strongly opposed to this Plan and PC to draft a letter to be submitted on behalf of Roydon Parish Council with Neighbourhood Plan proviso paragraph at the end of the comments. </w:t>
      </w:r>
    </w:p>
    <w:p>
      <w:pPr>
        <w:pStyle w:val="Normal"/>
        <w:ind w:left="720" w:hanging="0"/>
        <w:rPr>
          <w:sz w:val="24"/>
          <w:szCs w:val="24"/>
        </w:rPr>
      </w:pPr>
      <w:r>
        <w:rPr>
          <w:sz w:val="24"/>
          <w:szCs w:val="24"/>
        </w:rPr>
      </w:r>
    </w:p>
    <w:p>
      <w:pPr>
        <w:pStyle w:val="Normal"/>
        <w:ind w:left="720" w:hanging="0"/>
        <w:rPr>
          <w:sz w:val="24"/>
          <w:szCs w:val="24"/>
        </w:rPr>
      </w:pPr>
      <w:r>
        <w:rPr>
          <w:sz w:val="24"/>
          <w:szCs w:val="24"/>
        </w:rPr>
      </w:r>
    </w:p>
    <w:p>
      <w:pPr>
        <w:pStyle w:val="Normal"/>
        <w:rPr>
          <w:b/>
          <w:b/>
          <w:sz w:val="24"/>
          <w:szCs w:val="24"/>
        </w:rPr>
      </w:pPr>
      <w:r>
        <w:rPr>
          <w:b/>
          <w:sz w:val="24"/>
          <w:szCs w:val="24"/>
        </w:rPr>
        <w:t xml:space="preserve">9. </w:t>
        <w:tab/>
        <w:t>Allotments Update:</w:t>
      </w:r>
    </w:p>
    <w:p>
      <w:pPr>
        <w:pStyle w:val="Normal"/>
        <w:ind w:left="720" w:hanging="0"/>
        <w:rPr>
          <w:sz w:val="24"/>
          <w:szCs w:val="24"/>
        </w:rPr>
      </w:pPr>
      <w:r>
        <w:rPr>
          <w:sz w:val="24"/>
          <w:szCs w:val="24"/>
        </w:rPr>
        <w:t xml:space="preserve">All the Annual Allotment rents had been collected prior to this meeting with £440.00 collected and banked. </w:t>
      </w:r>
    </w:p>
    <w:p>
      <w:pPr>
        <w:pStyle w:val="Normal"/>
        <w:ind w:left="720" w:hanging="0"/>
        <w:rPr>
          <w:sz w:val="24"/>
          <w:szCs w:val="24"/>
        </w:rPr>
      </w:pPr>
      <w:r>
        <w:rPr>
          <w:sz w:val="24"/>
          <w:szCs w:val="24"/>
        </w:rPr>
        <w:t>1 Plot ( Plot 8) remains available to be rented out and this to be advertised.</w:t>
      </w:r>
    </w:p>
    <w:p>
      <w:pPr>
        <w:pStyle w:val="Normal"/>
        <w:rPr>
          <w:sz w:val="24"/>
          <w:szCs w:val="24"/>
        </w:rPr>
      </w:pPr>
      <w:r>
        <w:rPr>
          <w:sz w:val="24"/>
          <w:szCs w:val="24"/>
        </w:rPr>
      </w:r>
    </w:p>
    <w:p>
      <w:pPr>
        <w:pStyle w:val="Normal"/>
        <w:spacing w:before="0" w:after="0"/>
        <w:rPr>
          <w:b/>
          <w:b/>
          <w:sz w:val="24"/>
          <w:szCs w:val="24"/>
        </w:rPr>
      </w:pPr>
      <w:r>
        <w:rPr>
          <w:b/>
          <w:sz w:val="24"/>
          <w:szCs w:val="24"/>
        </w:rPr>
        <w:t>10.</w:t>
        <w:tab/>
        <w:t>Village Hall drains expenditure for consideration:</w:t>
      </w:r>
    </w:p>
    <w:p>
      <w:pPr>
        <w:pStyle w:val="Normal"/>
        <w:spacing w:before="0" w:after="0"/>
        <w:rPr>
          <w:b/>
          <w:b/>
          <w:sz w:val="24"/>
          <w:szCs w:val="24"/>
        </w:rPr>
      </w:pPr>
      <w:r>
        <w:rPr>
          <w:b/>
          <w:sz w:val="24"/>
          <w:szCs w:val="24"/>
        </w:rPr>
      </w:r>
    </w:p>
    <w:p>
      <w:pPr>
        <w:pStyle w:val="Normal"/>
        <w:spacing w:before="0" w:after="0"/>
        <w:ind w:left="720" w:hanging="0"/>
        <w:rPr>
          <w:sz w:val="24"/>
          <w:szCs w:val="24"/>
        </w:rPr>
      </w:pPr>
      <w:r>
        <w:rPr>
          <w:sz w:val="24"/>
          <w:szCs w:val="24"/>
        </w:rPr>
        <w:t>This is currently being held up as awaiting the formal wayleave to connect the Village Hall drains to the mains sewer system still outstanding.</w:t>
      </w:r>
    </w:p>
    <w:p>
      <w:pPr>
        <w:pStyle w:val="Normal"/>
        <w:spacing w:before="0" w:after="0"/>
        <w:ind w:left="720" w:hanging="0"/>
        <w:rPr>
          <w:sz w:val="24"/>
          <w:szCs w:val="24"/>
        </w:rPr>
      </w:pPr>
      <w:r>
        <w:rPr>
          <w:sz w:val="24"/>
          <w:szCs w:val="24"/>
        </w:rPr>
      </w:r>
    </w:p>
    <w:p>
      <w:pPr>
        <w:pStyle w:val="Normal"/>
        <w:spacing w:before="0" w:after="0"/>
        <w:ind w:left="720" w:hanging="0"/>
        <w:rPr>
          <w:sz w:val="24"/>
          <w:szCs w:val="24"/>
        </w:rPr>
      </w:pPr>
      <w:r>
        <w:rPr>
          <w:sz w:val="24"/>
          <w:szCs w:val="24"/>
        </w:rPr>
      </w:r>
    </w:p>
    <w:p>
      <w:pPr>
        <w:pStyle w:val="Normal"/>
        <w:spacing w:before="0" w:after="0"/>
        <w:rPr>
          <w:b/>
          <w:b/>
          <w:sz w:val="24"/>
          <w:szCs w:val="24"/>
        </w:rPr>
      </w:pPr>
      <w:r>
        <w:rPr>
          <w:b/>
          <w:sz w:val="24"/>
          <w:szCs w:val="24"/>
        </w:rPr>
        <w:t xml:space="preserve">11. </w:t>
        <w:tab/>
        <w:t>Section 106 projects for consideration</w:t>
      </w:r>
    </w:p>
    <w:p>
      <w:pPr>
        <w:pStyle w:val="Normal"/>
        <w:spacing w:before="0" w:after="0"/>
        <w:rPr>
          <w:b/>
          <w:b/>
          <w:sz w:val="24"/>
          <w:szCs w:val="24"/>
        </w:rPr>
      </w:pPr>
      <w:r>
        <w:rPr>
          <w:b/>
          <w:sz w:val="24"/>
          <w:szCs w:val="24"/>
        </w:rPr>
      </w:r>
    </w:p>
    <w:p>
      <w:pPr>
        <w:pStyle w:val="Normal"/>
        <w:spacing w:before="0" w:after="0"/>
        <w:ind w:left="720" w:hanging="0"/>
        <w:rPr>
          <w:sz w:val="24"/>
          <w:szCs w:val="24"/>
        </w:rPr>
      </w:pPr>
      <w:r>
        <w:rPr>
          <w:sz w:val="24"/>
          <w:szCs w:val="24"/>
        </w:rPr>
        <w:t>As outlined in Agenda Item 3 above.</w:t>
      </w:r>
    </w:p>
    <w:p>
      <w:pPr>
        <w:pStyle w:val="Normal"/>
        <w:spacing w:before="0" w:after="0"/>
        <w:ind w:left="720" w:hanging="0"/>
        <w:rPr/>
      </w:pPr>
      <w:r>
        <w:rPr>
          <w:sz w:val="24"/>
          <w:szCs w:val="24"/>
        </w:rPr>
        <w:t>Also discussed work such as a Boardwalk at Wortham Ling and PC to write to Suffolk Wildlife Society to ask them if they have any suitable projects.</w:t>
      </w:r>
    </w:p>
    <w:p>
      <w:pPr>
        <w:pStyle w:val="Normal"/>
        <w:spacing w:before="0" w:after="0"/>
        <w:ind w:left="720" w:hanging="0"/>
        <w:rPr>
          <w:sz w:val="24"/>
          <w:szCs w:val="24"/>
        </w:rPr>
      </w:pPr>
      <w:r>
        <w:rPr>
          <w:sz w:val="24"/>
          <w:szCs w:val="24"/>
        </w:rPr>
      </w:r>
    </w:p>
    <w:p>
      <w:pPr>
        <w:pStyle w:val="Normal"/>
        <w:spacing w:before="0" w:after="0"/>
        <w:rPr>
          <w:b/>
          <w:b/>
          <w:sz w:val="24"/>
          <w:szCs w:val="24"/>
        </w:rPr>
      </w:pPr>
      <w:r>
        <w:rPr>
          <w:b/>
          <w:sz w:val="24"/>
          <w:szCs w:val="24"/>
        </w:rPr>
      </w:r>
    </w:p>
    <w:p>
      <w:pPr>
        <w:pStyle w:val="Normal"/>
        <w:spacing w:before="0" w:after="0"/>
        <w:rPr>
          <w:b/>
          <w:b/>
          <w:sz w:val="24"/>
          <w:szCs w:val="24"/>
        </w:rPr>
      </w:pPr>
      <w:r>
        <w:rPr>
          <w:b/>
          <w:sz w:val="24"/>
          <w:szCs w:val="24"/>
        </w:rPr>
        <w:t>12.</w:t>
        <w:tab/>
        <w:t>Brewers Green Update:</w:t>
      </w:r>
    </w:p>
    <w:p>
      <w:pPr>
        <w:pStyle w:val="Xmsonormal"/>
        <w:tabs>
          <w:tab w:val="left" w:pos="2484" w:leader="none"/>
        </w:tabs>
        <w:rPr>
          <w:i/>
          <w:i/>
          <w:sz w:val="24"/>
          <w:szCs w:val="24"/>
        </w:rPr>
      </w:pPr>
      <w:r>
        <w:rPr>
          <w:i/>
          <w:sz w:val="24"/>
          <w:szCs w:val="24"/>
        </w:rPr>
      </w:r>
    </w:p>
    <w:p>
      <w:pPr>
        <w:pStyle w:val="Xmsonormal"/>
        <w:numPr>
          <w:ilvl w:val="0"/>
          <w:numId w:val="4"/>
        </w:numPr>
        <w:rPr>
          <w:sz w:val="24"/>
          <w:szCs w:val="24"/>
        </w:rPr>
      </w:pPr>
      <w:r>
        <w:rPr>
          <w:sz w:val="24"/>
          <w:szCs w:val="24"/>
        </w:rPr>
        <w:t xml:space="preserve">The next BGMC meeting will be held in December. </w:t>
      </w:r>
    </w:p>
    <w:p>
      <w:pPr>
        <w:pStyle w:val="Xmsonormal"/>
        <w:numPr>
          <w:ilvl w:val="0"/>
          <w:numId w:val="4"/>
        </w:numPr>
        <w:rPr>
          <w:sz w:val="24"/>
          <w:szCs w:val="24"/>
        </w:rPr>
      </w:pPr>
      <w:r>
        <w:rPr>
          <w:sz w:val="24"/>
          <w:szCs w:val="24"/>
        </w:rPr>
        <w:t>The project is progressing as planned and all poles will be removed early in the New Year.</w:t>
      </w:r>
    </w:p>
    <w:p>
      <w:pPr>
        <w:pStyle w:val="Xmsonormal"/>
        <w:numPr>
          <w:ilvl w:val="0"/>
          <w:numId w:val="4"/>
        </w:numPr>
        <w:rPr>
          <w:sz w:val="24"/>
          <w:szCs w:val="24"/>
        </w:rPr>
      </w:pPr>
      <w:r>
        <w:rPr>
          <w:sz w:val="24"/>
          <w:szCs w:val="24"/>
        </w:rPr>
        <w:t>Discrete signage for the Green is being considered.</w:t>
      </w:r>
    </w:p>
    <w:p>
      <w:pPr>
        <w:pStyle w:val="Xmsonormal"/>
        <w:numPr>
          <w:ilvl w:val="0"/>
          <w:numId w:val="4"/>
        </w:numPr>
        <w:rPr>
          <w:sz w:val="24"/>
          <w:szCs w:val="24"/>
        </w:rPr>
      </w:pPr>
      <w:r>
        <w:rPr>
          <w:sz w:val="24"/>
          <w:szCs w:val="24"/>
        </w:rPr>
        <w:t>The lifebelt attending the large pond has been removed as John Taylor is repairing the support stand for this equipment and will be returned once repaired.</w:t>
      </w:r>
    </w:p>
    <w:p>
      <w:pPr>
        <w:pStyle w:val="Normal"/>
        <w:spacing w:before="0" w:after="0"/>
        <w:rPr>
          <w:sz w:val="24"/>
          <w:szCs w:val="24"/>
        </w:rPr>
      </w:pPr>
      <w:r>
        <w:rPr>
          <w:sz w:val="24"/>
          <w:szCs w:val="24"/>
        </w:rPr>
      </w:r>
    </w:p>
    <w:p>
      <w:pPr>
        <w:pStyle w:val="Normal"/>
        <w:spacing w:before="0" w:after="0"/>
        <w:rPr>
          <w:sz w:val="24"/>
          <w:szCs w:val="24"/>
        </w:rPr>
      </w:pPr>
      <w:r>
        <w:rPr>
          <w:sz w:val="24"/>
          <w:szCs w:val="24"/>
        </w:rPr>
      </w:r>
    </w:p>
    <w:p>
      <w:pPr>
        <w:pStyle w:val="Normal"/>
        <w:spacing w:before="0" w:after="0"/>
        <w:rPr>
          <w:b/>
          <w:b/>
          <w:sz w:val="24"/>
          <w:szCs w:val="24"/>
        </w:rPr>
      </w:pPr>
      <w:r>
        <w:rPr>
          <w:b/>
          <w:sz w:val="24"/>
          <w:szCs w:val="24"/>
        </w:rPr>
        <w:t>13.</w:t>
        <w:tab/>
        <w:t>Pedestrian Crossing on A1066.</w:t>
      </w:r>
    </w:p>
    <w:p>
      <w:pPr>
        <w:pStyle w:val="Normal"/>
        <w:spacing w:before="0" w:after="0"/>
        <w:rPr>
          <w:sz w:val="24"/>
          <w:szCs w:val="24"/>
        </w:rPr>
      </w:pPr>
      <w:r>
        <w:rPr>
          <w:sz w:val="24"/>
          <w:szCs w:val="24"/>
        </w:rPr>
      </w:r>
    </w:p>
    <w:p>
      <w:pPr>
        <w:pStyle w:val="Normal"/>
        <w:spacing w:before="0" w:after="0"/>
        <w:rPr>
          <w:sz w:val="24"/>
          <w:szCs w:val="24"/>
        </w:rPr>
      </w:pPr>
      <w:r>
        <w:rPr>
          <w:sz w:val="24"/>
          <w:szCs w:val="24"/>
        </w:rPr>
        <w:t>As per Agenda Item 3 above.</w:t>
      </w:r>
    </w:p>
    <w:p>
      <w:pPr>
        <w:pStyle w:val="Normal"/>
        <w:spacing w:before="0" w:after="0"/>
        <w:rPr>
          <w:sz w:val="24"/>
          <w:szCs w:val="24"/>
        </w:rPr>
      </w:pPr>
      <w:r>
        <w:rPr>
          <w:sz w:val="24"/>
          <w:szCs w:val="24"/>
        </w:rPr>
      </w:r>
    </w:p>
    <w:p>
      <w:pPr>
        <w:pStyle w:val="Normal"/>
        <w:spacing w:before="0" w:after="0"/>
        <w:rPr>
          <w:sz w:val="24"/>
          <w:szCs w:val="24"/>
        </w:rPr>
      </w:pPr>
      <w:r>
        <w:rPr>
          <w:sz w:val="24"/>
          <w:szCs w:val="24"/>
        </w:rPr>
      </w:r>
    </w:p>
    <w:p>
      <w:pPr>
        <w:pStyle w:val="Normal"/>
        <w:spacing w:before="0" w:after="0"/>
        <w:rPr>
          <w:b/>
          <w:b/>
          <w:sz w:val="24"/>
          <w:szCs w:val="24"/>
        </w:rPr>
      </w:pPr>
      <w:r>
        <w:rPr>
          <w:b/>
          <w:sz w:val="24"/>
          <w:szCs w:val="24"/>
        </w:rPr>
      </w:r>
    </w:p>
    <w:p>
      <w:pPr>
        <w:pStyle w:val="Normal"/>
        <w:spacing w:before="0" w:after="0"/>
        <w:rPr>
          <w:b/>
          <w:b/>
          <w:sz w:val="24"/>
          <w:szCs w:val="24"/>
        </w:rPr>
      </w:pPr>
      <w:r>
        <w:rPr>
          <w:b/>
          <w:sz w:val="24"/>
          <w:szCs w:val="24"/>
        </w:rPr>
      </w:r>
    </w:p>
    <w:p>
      <w:pPr>
        <w:pStyle w:val="Normal"/>
        <w:spacing w:before="0" w:after="0"/>
        <w:rPr>
          <w:b/>
          <w:b/>
          <w:sz w:val="24"/>
          <w:szCs w:val="24"/>
        </w:rPr>
      </w:pPr>
      <w:r>
        <w:rPr>
          <w:b/>
          <w:sz w:val="24"/>
          <w:szCs w:val="24"/>
        </w:rPr>
        <w:t>14.</w:t>
        <w:tab/>
        <w:t>Defibrillator update.</w:t>
      </w:r>
    </w:p>
    <w:p>
      <w:pPr>
        <w:pStyle w:val="Normal"/>
        <w:spacing w:before="0" w:after="0"/>
        <w:rPr>
          <w:sz w:val="24"/>
          <w:szCs w:val="24"/>
        </w:rPr>
      </w:pPr>
      <w:r>
        <w:rPr>
          <w:sz w:val="24"/>
          <w:szCs w:val="24"/>
        </w:rPr>
      </w:r>
    </w:p>
    <w:p>
      <w:pPr>
        <w:pStyle w:val="Normal"/>
        <w:spacing w:before="0" w:after="0"/>
        <w:rPr>
          <w:sz w:val="24"/>
          <w:szCs w:val="24"/>
        </w:rPr>
      </w:pPr>
      <w:r>
        <w:rPr>
          <w:sz w:val="24"/>
          <w:szCs w:val="24"/>
        </w:rPr>
        <w:t>Information evening and training is scheduled for Friday 7</w:t>
      </w:r>
      <w:r>
        <w:rPr>
          <w:sz w:val="24"/>
          <w:szCs w:val="24"/>
          <w:vertAlign w:val="superscript"/>
        </w:rPr>
        <w:t>th</w:t>
      </w:r>
      <w:r>
        <w:rPr>
          <w:sz w:val="24"/>
          <w:szCs w:val="24"/>
        </w:rPr>
        <w:t xml:space="preserve"> December at 7.30 pm</w:t>
      </w:r>
    </w:p>
    <w:p>
      <w:pPr>
        <w:pStyle w:val="Normal"/>
        <w:spacing w:before="0" w:after="0"/>
        <w:rPr>
          <w:sz w:val="24"/>
          <w:szCs w:val="24"/>
        </w:rPr>
      </w:pPr>
      <w:r>
        <w:rPr>
          <w:sz w:val="24"/>
          <w:szCs w:val="24"/>
        </w:rPr>
      </w:r>
    </w:p>
    <w:p>
      <w:pPr>
        <w:pStyle w:val="Normal"/>
        <w:spacing w:before="0" w:after="0"/>
        <w:rPr>
          <w:b/>
          <w:b/>
          <w:sz w:val="24"/>
          <w:szCs w:val="24"/>
        </w:rPr>
      </w:pPr>
      <w:r>
        <w:rPr>
          <w:b/>
          <w:sz w:val="24"/>
          <w:szCs w:val="24"/>
        </w:rPr>
        <w:t xml:space="preserve">15. </w:t>
        <w:tab/>
        <w:t>Correspondence to be circulated.</w:t>
      </w:r>
    </w:p>
    <w:p>
      <w:pPr>
        <w:pStyle w:val="Normal"/>
        <w:spacing w:before="0" w:after="0"/>
        <w:rPr>
          <w:b/>
          <w:b/>
          <w:sz w:val="24"/>
          <w:szCs w:val="24"/>
        </w:rPr>
      </w:pPr>
      <w:r>
        <w:rPr>
          <w:b/>
          <w:sz w:val="24"/>
          <w:szCs w:val="24"/>
        </w:rPr>
      </w:r>
    </w:p>
    <w:p>
      <w:pPr>
        <w:pStyle w:val="ListParagraph"/>
        <w:numPr>
          <w:ilvl w:val="0"/>
          <w:numId w:val="5"/>
        </w:numPr>
        <w:rPr>
          <w:sz w:val="24"/>
          <w:szCs w:val="24"/>
        </w:rPr>
      </w:pPr>
      <w:r>
        <w:rPr>
          <w:sz w:val="24"/>
          <w:szCs w:val="24"/>
        </w:rPr>
        <w:t>Local Police Newsletter – November 2018.</w:t>
      </w:r>
    </w:p>
    <w:p>
      <w:pPr>
        <w:pStyle w:val="ListParagraph"/>
        <w:numPr>
          <w:ilvl w:val="0"/>
          <w:numId w:val="5"/>
        </w:numPr>
        <w:rPr/>
      </w:pPr>
      <w:r>
        <w:rPr>
          <w:sz w:val="24"/>
          <w:szCs w:val="24"/>
        </w:rPr>
        <w:t>Email regarding Clerk’s final Salary &amp; Learning Agreement settlement</w:t>
      </w:r>
      <w:r>
        <w:rPr/>
        <w:t>.</w:t>
      </w:r>
    </w:p>
    <w:p>
      <w:pPr>
        <w:pStyle w:val="ListParagraph"/>
        <w:numPr>
          <w:ilvl w:val="0"/>
          <w:numId w:val="5"/>
        </w:numPr>
        <w:rPr/>
      </w:pPr>
      <w:r>
        <w:rPr/>
        <w:t>Norwich Western Link Options Consultation.</w:t>
      </w:r>
    </w:p>
    <w:p>
      <w:pPr>
        <w:pStyle w:val="ListParagraph"/>
        <w:rPr>
          <w:sz w:val="24"/>
          <w:szCs w:val="24"/>
        </w:rPr>
      </w:pPr>
      <w:r>
        <w:rPr>
          <w:sz w:val="24"/>
          <w:szCs w:val="24"/>
        </w:rPr>
      </w:r>
    </w:p>
    <w:p>
      <w:pPr>
        <w:pStyle w:val="Normal"/>
        <w:rPr>
          <w:sz w:val="24"/>
          <w:szCs w:val="24"/>
        </w:rPr>
      </w:pPr>
      <w:r>
        <w:rPr>
          <w:b/>
          <w:sz w:val="24"/>
          <w:szCs w:val="24"/>
        </w:rPr>
        <w:t xml:space="preserve">16. </w:t>
        <w:tab/>
        <w:t>Policies for consideration:</w:t>
      </w:r>
    </w:p>
    <w:p>
      <w:pPr>
        <w:pStyle w:val="ListParagraph"/>
        <w:numPr>
          <w:ilvl w:val="1"/>
          <w:numId w:val="3"/>
        </w:numPr>
        <w:rPr>
          <w:sz w:val="24"/>
          <w:szCs w:val="24"/>
        </w:rPr>
      </w:pPr>
      <w:r>
        <w:rPr>
          <w:sz w:val="24"/>
          <w:szCs w:val="24"/>
        </w:rPr>
        <w:t>Equality Policy</w:t>
      </w:r>
    </w:p>
    <w:p>
      <w:pPr>
        <w:pStyle w:val="ListParagraph"/>
        <w:numPr>
          <w:ilvl w:val="1"/>
          <w:numId w:val="3"/>
        </w:numPr>
        <w:rPr>
          <w:sz w:val="24"/>
          <w:szCs w:val="24"/>
        </w:rPr>
      </w:pPr>
      <w:r>
        <w:rPr>
          <w:sz w:val="24"/>
          <w:szCs w:val="24"/>
        </w:rPr>
        <w:t>Training &amp; Development Policy</w:t>
      </w:r>
    </w:p>
    <w:p>
      <w:pPr>
        <w:pStyle w:val="Normal"/>
        <w:rPr>
          <w:sz w:val="24"/>
          <w:szCs w:val="24"/>
        </w:rPr>
      </w:pPr>
      <w:r>
        <w:rPr>
          <w:sz w:val="24"/>
          <w:szCs w:val="24"/>
        </w:rPr>
        <w:t>Proposed by PC, Seconded by AB and Unanimously agreed to adopt both these policies.</w:t>
      </w:r>
    </w:p>
    <w:p>
      <w:pPr>
        <w:pStyle w:val="Normal"/>
        <w:rPr>
          <w:sz w:val="24"/>
          <w:szCs w:val="24"/>
        </w:rPr>
      </w:pPr>
      <w:r>
        <w:rPr>
          <w:sz w:val="24"/>
          <w:szCs w:val="24"/>
        </w:rPr>
      </w:r>
    </w:p>
    <w:p>
      <w:pPr>
        <w:pStyle w:val="Normal"/>
        <w:spacing w:before="0" w:after="0"/>
        <w:rPr>
          <w:b/>
          <w:b/>
          <w:sz w:val="24"/>
          <w:szCs w:val="24"/>
        </w:rPr>
      </w:pPr>
      <w:r>
        <w:rPr>
          <w:b/>
          <w:sz w:val="24"/>
          <w:szCs w:val="24"/>
        </w:rPr>
        <w:t>17. Report from District Councillor – DG</w:t>
      </w:r>
    </w:p>
    <w:p>
      <w:pPr>
        <w:pStyle w:val="Normal"/>
        <w:spacing w:before="0" w:after="0"/>
        <w:rPr>
          <w:b/>
          <w:b/>
          <w:sz w:val="24"/>
          <w:szCs w:val="24"/>
        </w:rPr>
      </w:pPr>
      <w:r>
        <w:rPr>
          <w:b/>
          <w:sz w:val="24"/>
          <w:szCs w:val="24"/>
        </w:rPr>
      </w:r>
    </w:p>
    <w:p>
      <w:pPr>
        <w:pStyle w:val="Normal"/>
        <w:spacing w:before="0" w:after="0"/>
        <w:rPr>
          <w:b/>
          <w:b/>
          <w:sz w:val="24"/>
          <w:szCs w:val="24"/>
        </w:rPr>
      </w:pPr>
      <w:r>
        <w:rPr>
          <w:sz w:val="24"/>
          <w:szCs w:val="24"/>
        </w:rPr>
        <w:t>No written report but verbal comment regarding the current District Council Grants system.</w:t>
      </w:r>
    </w:p>
    <w:p>
      <w:pPr>
        <w:pStyle w:val="Normal"/>
        <w:spacing w:before="0" w:after="0"/>
        <w:rPr>
          <w:b/>
          <w:b/>
          <w:sz w:val="24"/>
          <w:szCs w:val="24"/>
        </w:rPr>
      </w:pPr>
      <w:r>
        <w:rPr>
          <w:b/>
          <w:sz w:val="24"/>
          <w:szCs w:val="24"/>
        </w:rPr>
      </w:r>
    </w:p>
    <w:p>
      <w:pPr>
        <w:pStyle w:val="Normal"/>
        <w:spacing w:before="0" w:after="0"/>
        <w:rPr>
          <w:b/>
          <w:b/>
          <w:sz w:val="24"/>
          <w:szCs w:val="24"/>
        </w:rPr>
      </w:pPr>
      <w:r>
        <w:rPr>
          <w:b/>
          <w:sz w:val="24"/>
          <w:szCs w:val="24"/>
        </w:rPr>
        <w:t xml:space="preserve">18. </w:t>
        <w:tab/>
        <w:t>Report from County Councillor – KK</w:t>
      </w:r>
    </w:p>
    <w:p>
      <w:pPr>
        <w:pStyle w:val="Normal"/>
        <w:spacing w:before="0" w:after="0"/>
        <w:rPr>
          <w:b/>
          <w:b/>
          <w:sz w:val="24"/>
          <w:szCs w:val="24"/>
        </w:rPr>
      </w:pPr>
      <w:r>
        <w:rPr>
          <w:b/>
          <w:sz w:val="24"/>
          <w:szCs w:val="24"/>
        </w:rPr>
      </w:r>
    </w:p>
    <w:p>
      <w:pPr>
        <w:pStyle w:val="Normal"/>
        <w:spacing w:before="0" w:after="0"/>
        <w:rPr>
          <w:sz w:val="24"/>
          <w:szCs w:val="24"/>
        </w:rPr>
      </w:pPr>
      <w:r>
        <w:rPr>
          <w:sz w:val="24"/>
          <w:szCs w:val="24"/>
        </w:rPr>
        <w:t>Circulated to all Parish Councillors at the Meeting and posted on Parish Website</w:t>
      </w:r>
    </w:p>
    <w:p>
      <w:pPr>
        <w:pStyle w:val="Normal"/>
        <w:spacing w:before="0" w:after="0"/>
        <w:rPr>
          <w:sz w:val="24"/>
          <w:szCs w:val="24"/>
        </w:rPr>
      </w:pPr>
      <w:r>
        <w:rPr>
          <w:sz w:val="24"/>
          <w:szCs w:val="24"/>
        </w:rPr>
      </w:r>
    </w:p>
    <w:p>
      <w:pPr>
        <w:pStyle w:val="Normal"/>
        <w:spacing w:before="0" w:after="0"/>
        <w:rPr>
          <w:sz w:val="24"/>
          <w:szCs w:val="24"/>
        </w:rPr>
      </w:pPr>
      <w:r>
        <w:rPr>
          <w:sz w:val="24"/>
          <w:szCs w:val="24"/>
        </w:rPr>
      </w:r>
    </w:p>
    <w:p>
      <w:pPr>
        <w:pStyle w:val="Normal"/>
        <w:spacing w:before="0" w:after="0"/>
        <w:rPr>
          <w:sz w:val="24"/>
          <w:szCs w:val="24"/>
        </w:rPr>
      </w:pPr>
      <w:r>
        <w:rPr>
          <w:sz w:val="24"/>
          <w:szCs w:val="24"/>
        </w:rPr>
      </w:r>
    </w:p>
    <w:p>
      <w:pPr>
        <w:pStyle w:val="Normal"/>
        <w:spacing w:before="0" w:after="0"/>
        <w:rPr>
          <w:b/>
          <w:b/>
          <w:sz w:val="24"/>
          <w:szCs w:val="24"/>
        </w:rPr>
      </w:pPr>
      <w:r>
        <w:rPr>
          <w:b/>
          <w:sz w:val="24"/>
          <w:szCs w:val="24"/>
        </w:rPr>
        <w:t>20.</w:t>
        <w:tab/>
        <w:t>Any Other Business (for information only)</w:t>
      </w:r>
    </w:p>
    <w:p>
      <w:pPr>
        <w:pStyle w:val="Normal"/>
        <w:spacing w:before="0" w:after="0"/>
        <w:rPr>
          <w:b/>
          <w:b/>
          <w:sz w:val="24"/>
          <w:szCs w:val="24"/>
        </w:rPr>
      </w:pPr>
      <w:r>
        <w:rPr>
          <w:b/>
          <w:sz w:val="24"/>
          <w:szCs w:val="24"/>
        </w:rPr>
      </w:r>
    </w:p>
    <w:p>
      <w:pPr>
        <w:pStyle w:val="ListParagraph"/>
        <w:spacing w:before="0" w:after="0"/>
        <w:rPr>
          <w:b/>
          <w:b/>
          <w:sz w:val="24"/>
          <w:szCs w:val="24"/>
        </w:rPr>
      </w:pPr>
      <w:r>
        <w:rPr>
          <w:sz w:val="24"/>
          <w:szCs w:val="24"/>
        </w:rPr>
        <w:t>A new re-cycling rota system is needed from January for the Parish Councillors</w:t>
      </w:r>
      <w:r>
        <w:rPr>
          <w:b/>
          <w:sz w:val="24"/>
          <w:szCs w:val="24"/>
        </w:rPr>
        <w:t>.</w:t>
      </w:r>
    </w:p>
    <w:p>
      <w:pPr>
        <w:pStyle w:val="ListParagraph"/>
        <w:spacing w:before="0" w:after="0"/>
        <w:rPr>
          <w:b/>
          <w:b/>
          <w:sz w:val="24"/>
          <w:szCs w:val="24"/>
        </w:rPr>
      </w:pPr>
      <w:r>
        <w:rPr>
          <w:b/>
          <w:sz w:val="24"/>
          <w:szCs w:val="24"/>
        </w:rPr>
        <w:t xml:space="preserve"> </w:t>
      </w:r>
    </w:p>
    <w:p>
      <w:pPr>
        <w:pStyle w:val="Normal"/>
        <w:spacing w:before="0" w:after="0"/>
        <w:rPr>
          <w:b/>
          <w:b/>
          <w:sz w:val="24"/>
          <w:szCs w:val="24"/>
        </w:rPr>
      </w:pPr>
      <w:r>
        <w:rPr>
          <w:b/>
          <w:sz w:val="24"/>
          <w:szCs w:val="24"/>
        </w:rPr>
        <w:t>21.</w:t>
        <w:tab/>
        <w:t>Date and time of next Meeting – Tuesday 29</w:t>
      </w:r>
      <w:r>
        <w:rPr>
          <w:b/>
          <w:sz w:val="24"/>
          <w:szCs w:val="24"/>
          <w:vertAlign w:val="superscript"/>
        </w:rPr>
        <w:t>th</w:t>
      </w:r>
      <w:r>
        <w:rPr>
          <w:b/>
          <w:sz w:val="24"/>
          <w:szCs w:val="24"/>
        </w:rPr>
        <w:t xml:space="preserve"> January 2019 @ 7.15 pm</w:t>
      </w:r>
    </w:p>
    <w:p>
      <w:pPr>
        <w:pStyle w:val="Normal"/>
        <w:spacing w:before="0" w:after="0"/>
        <w:rPr>
          <w:b/>
          <w:b/>
          <w:sz w:val="24"/>
          <w:szCs w:val="24"/>
        </w:rPr>
      </w:pPr>
      <w:r>
        <w:rPr>
          <w:b/>
          <w:sz w:val="24"/>
          <w:szCs w:val="24"/>
        </w:rPr>
      </w:r>
    </w:p>
    <w:p>
      <w:pPr>
        <w:pStyle w:val="Normal"/>
        <w:spacing w:before="0" w:after="0"/>
        <w:rPr>
          <w:sz w:val="24"/>
          <w:szCs w:val="24"/>
        </w:rPr>
      </w:pPr>
      <w:r>
        <w:rPr>
          <w:sz w:val="24"/>
          <w:szCs w:val="24"/>
        </w:rPr>
        <w:t>Meeting finished at 8.45</w:t>
      </w:r>
      <w:bookmarkStart w:id="0" w:name="_GoBack"/>
      <w:bookmarkEnd w:id="0"/>
      <w:r>
        <w:rPr>
          <w:sz w:val="24"/>
          <w:szCs w:val="24"/>
        </w:rPr>
        <w:t xml:space="preserve"> pm </w:t>
      </w:r>
    </w:p>
    <w:p>
      <w:pPr>
        <w:pStyle w:val="Normal"/>
        <w:spacing w:before="0" w:after="0"/>
        <w:rPr/>
      </w:pPr>
      <w:r>
        <w:rPr>
          <w:b/>
        </w:rPr>
        <w:tab/>
      </w:r>
    </w:p>
    <w:p>
      <w:pPr>
        <w:pStyle w:val="Normal"/>
        <w:spacing w:before="0" w:after="0"/>
        <w:rPr>
          <w:b/>
          <w:b/>
        </w:rPr>
      </w:pPr>
      <w:r>
        <w:rPr>
          <w:b/>
        </w:rPr>
      </w:r>
    </w:p>
    <w:p>
      <w:pPr>
        <w:pStyle w:val="Normal"/>
        <w:spacing w:before="0" w:after="0"/>
        <w:rPr/>
      </w:pPr>
      <w:r>
        <w:rPr/>
      </w:r>
    </w:p>
    <w:sectPr>
      <w:footerReference w:type="default" r:id="rId2"/>
      <w:type w:val="nextPage"/>
      <w:pgSz w:w="11906" w:h="16838"/>
      <w:pgMar w:left="1440" w:right="1440" w:header="0" w:top="1440" w:footer="708" w:bottom="1440"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smallCaps/>
        <w:sz w:val="18"/>
        <w:szCs w:val="18"/>
      </w:rPr>
      <w:t>Roydon Parish Council</w:t>
      <w:tab/>
      <w:t>Draft MINUTES NOVEMBER  2018</w:t>
      <w:tab/>
      <w:t xml:space="preserve">page </w:t>
    </w:r>
    <w:r>
      <w:rPr>
        <w:smallCaps/>
        <w:sz w:val="18"/>
        <w:szCs w:val="18"/>
      </w:rPr>
      <w:fldChar w:fldCharType="begin"/>
    </w:r>
    <w:r>
      <w:instrText> PAGE </w:instrText>
    </w:r>
    <w:r>
      <w:fldChar w:fldCharType="separate"/>
    </w:r>
    <w:r>
      <w:t>6</w:t>
    </w:r>
    <w:r>
      <w:fldChar w:fldCharType="end"/>
    </w:r>
    <w:r>
      <w:rPr>
        <w:smallCaps/>
        <w:sz w:val="18"/>
        <w:szCs w:val="18"/>
      </w:rPr>
      <w:t xml:space="preserve"> of </w:t>
    </w:r>
    <w:r>
      <w:rPr>
        <w:smallCaps/>
        <w:sz w:val="18"/>
        <w:szCs w:val="18"/>
      </w:rPr>
      <w:fldChar w:fldCharType="begin"/>
    </w:r>
    <w:r>
      <w:instrText> NUMPAGES </w:instrText>
    </w:r>
    <w:r>
      <w:fldChar w:fldCharType="separate"/>
    </w:r>
    <w:r>
      <w:t>6</w:t>
    </w:r>
    <w: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1080" w:hanging="360"/>
      </w:pPr>
      <w:rPr>
        <w:rFonts w:ascii="Symbol" w:hAnsi="Symbol" w:cs="Symbol" w:hint="default"/>
        <w:sz w:val="24"/>
        <w:rFonts w:cs="Symbol"/>
      </w:rPr>
    </w:lvl>
    <w:lvl w:ilvl="1">
      <w:start w:val="1"/>
      <w:numFmt w:val="bullet"/>
      <w:lvlText w:val="o"/>
      <w:lvlJc w:val="left"/>
      <w:pPr>
        <w:ind w:left="1800" w:hanging="360"/>
      </w:pPr>
      <w:rPr>
        <w:rFonts w:ascii="Courier New" w:hAnsi="Courier New" w:cs="Courier New" w:hint="default"/>
        <w:rFonts w:cs="Courier New"/>
      </w:rPr>
    </w:lvl>
    <w:lvl w:ilvl="2">
      <w:start w:val="1"/>
      <w:numFmt w:val="bullet"/>
      <w:lvlText w:val=""/>
      <w:lvlJc w:val="left"/>
      <w:pPr>
        <w:ind w:left="2520" w:hanging="360"/>
      </w:pPr>
      <w:rPr>
        <w:rFonts w:ascii="Wingdings" w:hAnsi="Wingdings" w:cs="Wingdings" w:hint="default"/>
        <w:rFonts w:cs="Wingdings"/>
      </w:rPr>
    </w:lvl>
    <w:lvl w:ilvl="3">
      <w:start w:val="1"/>
      <w:numFmt w:val="bullet"/>
      <w:lvlText w:val=""/>
      <w:lvlJc w:val="left"/>
      <w:pPr>
        <w:ind w:left="3240" w:hanging="360"/>
      </w:pPr>
      <w:rPr>
        <w:rFonts w:ascii="Symbol" w:hAnsi="Symbol" w:cs="Symbol" w:hint="default"/>
        <w:rFonts w:cs="Symbol"/>
      </w:rPr>
    </w:lvl>
    <w:lvl w:ilvl="4">
      <w:start w:val="1"/>
      <w:numFmt w:val="bullet"/>
      <w:lvlText w:val="o"/>
      <w:lvlJc w:val="left"/>
      <w:pPr>
        <w:ind w:left="3960" w:hanging="360"/>
      </w:pPr>
      <w:rPr>
        <w:rFonts w:ascii="Courier New" w:hAnsi="Courier New" w:cs="Courier New" w:hint="default"/>
        <w:rFonts w:cs="Courier New"/>
      </w:rPr>
    </w:lvl>
    <w:lvl w:ilvl="5">
      <w:start w:val="1"/>
      <w:numFmt w:val="bullet"/>
      <w:lvlText w:val=""/>
      <w:lvlJc w:val="left"/>
      <w:pPr>
        <w:ind w:left="4680" w:hanging="360"/>
      </w:pPr>
      <w:rPr>
        <w:rFonts w:ascii="Wingdings" w:hAnsi="Wingdings" w:cs="Wingdings" w:hint="default"/>
        <w:rFonts w:cs="Wingdings"/>
      </w:rPr>
    </w:lvl>
    <w:lvl w:ilvl="6">
      <w:start w:val="1"/>
      <w:numFmt w:val="bullet"/>
      <w:lvlText w:val=""/>
      <w:lvlJc w:val="left"/>
      <w:pPr>
        <w:ind w:left="5400" w:hanging="360"/>
      </w:pPr>
      <w:rPr>
        <w:rFonts w:ascii="Symbol" w:hAnsi="Symbol" w:cs="Symbol" w:hint="default"/>
        <w:rFonts w:cs="Symbol"/>
      </w:rPr>
    </w:lvl>
    <w:lvl w:ilvl="7">
      <w:start w:val="1"/>
      <w:numFmt w:val="bullet"/>
      <w:lvlText w:val="o"/>
      <w:lvlJc w:val="left"/>
      <w:pPr>
        <w:ind w:left="6120" w:hanging="360"/>
      </w:pPr>
      <w:rPr>
        <w:rFonts w:ascii="Courier New" w:hAnsi="Courier New" w:cs="Courier New" w:hint="default"/>
        <w:rFonts w:cs="Courier New"/>
      </w:rPr>
    </w:lvl>
    <w:lvl w:ilvl="8">
      <w:start w:val="1"/>
      <w:numFmt w:val="bullet"/>
      <w:lvlText w:val=""/>
      <w:lvlJc w:val="left"/>
      <w:pPr>
        <w:ind w:left="6840" w:hanging="360"/>
      </w:pPr>
      <w:rPr>
        <w:rFonts w:ascii="Wingdings" w:hAnsi="Wingdings" w:cs="Wingdings" w:hint="default"/>
        <w:rFonts w:cs="Wingdings"/>
      </w:rPr>
    </w:lvl>
  </w:abstractNum>
  <w:abstractNum w:abstractNumId="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lvl w:ilvl="0">
      <w:start w:val="1"/>
      <w:numFmt w:val="decimal"/>
      <w:lvlText w:val="%1."/>
      <w:lvlJc w:val="left"/>
      <w:pPr>
        <w:ind w:left="1080" w:hanging="360"/>
      </w:pPr>
    </w:lvl>
    <w:lvl w:ilvl="1">
      <w:start w:val="1"/>
      <w:numFmt w:val="lowerLetter"/>
      <w:lvlText w:val="%2."/>
      <w:lvlJc w:val="left"/>
      <w:pPr>
        <w:ind w:left="1800" w:hanging="360"/>
      </w:pPr>
      <w:rPr>
        <w:sz w:val="24"/>
        <w:rFonts w:eastAsia="Calibri" w:cs=""/>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lvl w:ilvl="0">
      <w:start w:val="1"/>
      <w:numFmt w:val="bullet"/>
      <w:lvlText w:val=""/>
      <w:lvlJc w:val="left"/>
      <w:pPr>
        <w:ind w:left="720" w:hanging="360"/>
      </w:pPr>
      <w:rPr>
        <w:rFonts w:ascii="Symbol" w:hAnsi="Symbol" w:cs="Symbol" w:hint="default"/>
        <w:sz w:val="24"/>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ind w:left="720" w:hanging="360"/>
      </w:pPr>
      <w:rPr>
        <w:rFonts w:ascii="Symbol" w:hAnsi="Symbol" w:cs="Symbol" w:hint="default"/>
        <w:sz w:val="24"/>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
    <w:lvl w:ilvl="0">
      <w:start w:val="1"/>
      <w:numFmt w:val="bullet"/>
      <w:lvlText w:val=""/>
      <w:lvlJc w:val="left"/>
      <w:pPr>
        <w:ind w:left="1440" w:hanging="360"/>
      </w:pPr>
      <w:rPr>
        <w:rFonts w:ascii="Symbol" w:hAnsi="Symbol" w:cs="Symbol" w:hint="default"/>
        <w:sz w:val="24"/>
        <w:rFonts w:cs="Symbol"/>
      </w:rPr>
    </w:lvl>
    <w:lvl w:ilvl="1">
      <w:start w:val="1"/>
      <w:numFmt w:val="bullet"/>
      <w:lvlText w:val="o"/>
      <w:lvlJc w:val="left"/>
      <w:pPr>
        <w:ind w:left="2160" w:hanging="360"/>
      </w:pPr>
      <w:rPr>
        <w:rFonts w:ascii="Courier New" w:hAnsi="Courier New" w:cs="Courier New" w:hint="default"/>
        <w:rFonts w:cs="Courier New"/>
      </w:rPr>
    </w:lvl>
    <w:lvl w:ilvl="2">
      <w:start w:val="1"/>
      <w:numFmt w:val="bullet"/>
      <w:lvlText w:val=""/>
      <w:lvlJc w:val="left"/>
      <w:pPr>
        <w:ind w:left="2880" w:hanging="360"/>
      </w:pPr>
      <w:rPr>
        <w:rFonts w:ascii="Wingdings" w:hAnsi="Wingdings" w:cs="Wingdings" w:hint="default"/>
        <w:rFonts w:cs="Wingdings"/>
      </w:rPr>
    </w:lvl>
    <w:lvl w:ilvl="3">
      <w:start w:val="1"/>
      <w:numFmt w:val="bullet"/>
      <w:lvlText w:val=""/>
      <w:lvlJc w:val="left"/>
      <w:pPr>
        <w:ind w:left="3600" w:hanging="360"/>
      </w:pPr>
      <w:rPr>
        <w:rFonts w:ascii="Symbol" w:hAnsi="Symbol" w:cs="Symbol" w:hint="default"/>
        <w:rFonts w:cs="Symbol"/>
      </w:rPr>
    </w:lvl>
    <w:lvl w:ilvl="4">
      <w:start w:val="1"/>
      <w:numFmt w:val="bullet"/>
      <w:lvlText w:val="o"/>
      <w:lvlJc w:val="left"/>
      <w:pPr>
        <w:ind w:left="4320" w:hanging="360"/>
      </w:pPr>
      <w:rPr>
        <w:rFonts w:ascii="Courier New" w:hAnsi="Courier New" w:cs="Courier New" w:hint="default"/>
        <w:rFonts w:cs="Courier New"/>
      </w:rPr>
    </w:lvl>
    <w:lvl w:ilvl="5">
      <w:start w:val="1"/>
      <w:numFmt w:val="bullet"/>
      <w:lvlText w:val=""/>
      <w:lvlJc w:val="left"/>
      <w:pPr>
        <w:ind w:left="5040" w:hanging="360"/>
      </w:pPr>
      <w:rPr>
        <w:rFonts w:ascii="Wingdings" w:hAnsi="Wingdings" w:cs="Wingdings" w:hint="default"/>
        <w:rFonts w:cs="Wingdings"/>
      </w:rPr>
    </w:lvl>
    <w:lvl w:ilvl="6">
      <w:start w:val="1"/>
      <w:numFmt w:val="bullet"/>
      <w:lvlText w:val=""/>
      <w:lvlJc w:val="left"/>
      <w:pPr>
        <w:ind w:left="5760" w:hanging="360"/>
      </w:pPr>
      <w:rPr>
        <w:rFonts w:ascii="Symbol" w:hAnsi="Symbol" w:cs="Symbol" w:hint="default"/>
        <w:rFonts w:cs="Symbol"/>
      </w:rPr>
    </w:lvl>
    <w:lvl w:ilvl="7">
      <w:start w:val="1"/>
      <w:numFmt w:val="bullet"/>
      <w:lvlText w:val="o"/>
      <w:lvlJc w:val="left"/>
      <w:pPr>
        <w:ind w:left="6480" w:hanging="360"/>
      </w:pPr>
      <w:rPr>
        <w:rFonts w:ascii="Courier New" w:hAnsi="Courier New" w:cs="Courier New" w:hint="default"/>
        <w:rFonts w:cs="Courier New"/>
      </w:rPr>
    </w:lvl>
    <w:lvl w:ilvl="8">
      <w:start w:val="1"/>
      <w:numFmt w:val="bullet"/>
      <w:lvlText w:val=""/>
      <w:lvlJc w:val="left"/>
      <w:pPr>
        <w:ind w:left="7200" w:hanging="360"/>
      </w:pPr>
      <w:rPr>
        <w:rFonts w:ascii="Wingdings" w:hAnsi="Wingdings" w:cs="Wingdings" w:hint="default"/>
        <w:rFonts w:cs="Wingdings"/>
      </w:rPr>
    </w:lvl>
  </w:abstractNum>
  <w:abstractNum w:abstractNumId="7">
    <w:lvl w:ilvl="0">
      <w:start w:val="1"/>
      <w:numFmt w:val="bullet"/>
      <w:lvlText w:val=""/>
      <w:lvlJc w:val="left"/>
      <w:pPr>
        <w:ind w:left="720" w:hanging="360"/>
      </w:pPr>
      <w:rPr>
        <w:rFonts w:ascii="Symbol" w:hAnsi="Symbol" w:cs="Symbol" w:hint="default"/>
        <w:sz w:val="24"/>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8">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GB" w:eastAsia="en-US" w:bidi="ar-SA"/>
      </w:rPr>
    </w:rPrDefault>
    <w:pPrDefault>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00000A"/>
      <w:sz w:val="22"/>
      <w:szCs w:val="22"/>
      <w:lang w:val="en-GB" w:eastAsia="en-US"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014a92"/>
    <w:rPr/>
  </w:style>
  <w:style w:type="character" w:styleId="FooterChar" w:customStyle="1">
    <w:name w:val="Footer Char"/>
    <w:basedOn w:val="DefaultParagraphFont"/>
    <w:link w:val="Footer"/>
    <w:uiPriority w:val="99"/>
    <w:qFormat/>
    <w:rsid w:val="00014a92"/>
    <w:rPr/>
  </w:style>
  <w:style w:type="character" w:styleId="BalloonTextChar" w:customStyle="1">
    <w:name w:val="Balloon Text Char"/>
    <w:basedOn w:val="DefaultParagraphFont"/>
    <w:link w:val="BalloonText"/>
    <w:uiPriority w:val="99"/>
    <w:semiHidden/>
    <w:qFormat/>
    <w:rsid w:val="00887afe"/>
    <w:rPr>
      <w:rFonts w:ascii="Segoe UI" w:hAnsi="Segoe UI" w:cs="Segoe UI"/>
      <w:sz w:val="18"/>
      <w:szCs w:val="18"/>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cs="Courier New"/>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cs="Courier New"/>
    </w:rPr>
  </w:style>
  <w:style w:type="character" w:styleId="ListLabel22">
    <w:name w:val="ListLabel 22"/>
    <w:qFormat/>
    <w:rPr>
      <w:rFonts w:cs="Courier New"/>
    </w:rPr>
  </w:style>
  <w:style w:type="character" w:styleId="ListLabel23">
    <w:name w:val="ListLabel 23"/>
    <w:qFormat/>
    <w:rPr>
      <w:rFonts w:cs="Courier New"/>
    </w:rPr>
  </w:style>
  <w:style w:type="character" w:styleId="ListLabel24">
    <w:name w:val="ListLabel 24"/>
    <w:qFormat/>
    <w:rPr>
      <w:rFonts w:cs="Courier New"/>
    </w:rPr>
  </w:style>
  <w:style w:type="character" w:styleId="ListLabel25">
    <w:name w:val="ListLabel 25"/>
    <w:qFormat/>
    <w:rPr>
      <w:rFonts w:cs="Courier New"/>
    </w:rPr>
  </w:style>
  <w:style w:type="character" w:styleId="ListLabel26">
    <w:name w:val="ListLabel 26"/>
    <w:qFormat/>
    <w:rPr>
      <w:rFonts w:cs="Courier New"/>
    </w:rPr>
  </w:style>
  <w:style w:type="character" w:styleId="ListLabel27">
    <w:name w:val="ListLabel 27"/>
    <w:qFormat/>
    <w:rPr>
      <w:rFonts w:cs="Courier New"/>
    </w:rPr>
  </w:style>
  <w:style w:type="character" w:styleId="ListLabel28">
    <w:name w:val="ListLabel 28"/>
    <w:qFormat/>
    <w:rPr>
      <w:rFonts w:cs="Courier New"/>
    </w:rPr>
  </w:style>
  <w:style w:type="character" w:styleId="ListLabel29">
    <w:name w:val="ListLabel 29"/>
    <w:qFormat/>
    <w:rPr>
      <w:rFonts w:cs="Courier New"/>
    </w:rPr>
  </w:style>
  <w:style w:type="character" w:styleId="ListLabel30">
    <w:name w:val="ListLabel 30"/>
    <w:qFormat/>
    <w:rPr>
      <w:rFonts w:cs="Courier New"/>
    </w:rPr>
  </w:style>
  <w:style w:type="character" w:styleId="ListLabel31">
    <w:name w:val="ListLabel 31"/>
    <w:qFormat/>
    <w:rPr>
      <w:rFonts w:cs="Courier New"/>
    </w:rPr>
  </w:style>
  <w:style w:type="character" w:styleId="ListLabel32">
    <w:name w:val="ListLabel 32"/>
    <w:qFormat/>
    <w:rPr>
      <w:rFonts w:cs="Courier New"/>
    </w:rPr>
  </w:style>
  <w:style w:type="character" w:styleId="ListLabel33">
    <w:name w:val="ListLabel 33"/>
    <w:qFormat/>
    <w:rPr>
      <w:rFonts w:cs="Courier New"/>
    </w:rPr>
  </w:style>
  <w:style w:type="character" w:styleId="ListLabel34">
    <w:name w:val="ListLabel 34"/>
    <w:qFormat/>
    <w:rPr>
      <w:rFonts w:cs="Courier New"/>
    </w:rPr>
  </w:style>
  <w:style w:type="character" w:styleId="ListLabel35">
    <w:name w:val="ListLabel 35"/>
    <w:qFormat/>
    <w:rPr>
      <w:rFonts w:cs="Courier New"/>
    </w:rPr>
  </w:style>
  <w:style w:type="character" w:styleId="ListLabel36">
    <w:name w:val="ListLabel 36"/>
    <w:qFormat/>
    <w:rPr>
      <w:rFonts w:cs="Courier New"/>
    </w:rPr>
  </w:style>
  <w:style w:type="character" w:styleId="ListLabel37">
    <w:name w:val="ListLabel 37"/>
    <w:qFormat/>
    <w:rPr>
      <w:rFonts w:cs="Courier New"/>
    </w:rPr>
  </w:style>
  <w:style w:type="character" w:styleId="ListLabel38">
    <w:name w:val="ListLabel 38"/>
    <w:qFormat/>
    <w:rPr>
      <w:rFonts w:cs="Courier New"/>
    </w:rPr>
  </w:style>
  <w:style w:type="character" w:styleId="ListLabel39">
    <w:name w:val="ListLabel 39"/>
    <w:qFormat/>
    <w:rPr>
      <w:rFonts w:cs="Courier New"/>
    </w:rPr>
  </w:style>
  <w:style w:type="character" w:styleId="ListLabel40">
    <w:name w:val="ListLabel 40"/>
    <w:qFormat/>
    <w:rPr>
      <w:rFonts w:cs="Courier New"/>
    </w:rPr>
  </w:style>
  <w:style w:type="character" w:styleId="ListLabel41">
    <w:name w:val="ListLabel 41"/>
    <w:qFormat/>
    <w:rPr>
      <w:rFonts w:cs="Courier New"/>
    </w:rPr>
  </w:style>
  <w:style w:type="character" w:styleId="ListLabel42">
    <w:name w:val="ListLabel 42"/>
    <w:qFormat/>
    <w:rPr>
      <w:rFonts w:cs="Courier New"/>
    </w:rPr>
  </w:style>
  <w:style w:type="character" w:styleId="ListLabel43">
    <w:name w:val="ListLabel 43"/>
    <w:qFormat/>
    <w:rPr>
      <w:rFonts w:cs="Courier New"/>
    </w:rPr>
  </w:style>
  <w:style w:type="character" w:styleId="ListLabel44">
    <w:name w:val="ListLabel 44"/>
    <w:qFormat/>
    <w:rPr>
      <w:rFonts w:cs="Courier New"/>
    </w:rPr>
  </w:style>
  <w:style w:type="character" w:styleId="ListLabel45">
    <w:name w:val="ListLabel 45"/>
    <w:qFormat/>
    <w:rPr>
      <w:rFonts w:cs="Courier New"/>
    </w:rPr>
  </w:style>
  <w:style w:type="character" w:styleId="ListLabel46">
    <w:name w:val="ListLabel 46"/>
    <w:qFormat/>
    <w:rPr>
      <w:rFonts w:cs="Courier New"/>
    </w:rPr>
  </w:style>
  <w:style w:type="character" w:styleId="ListLabel47">
    <w:name w:val="ListLabel 47"/>
    <w:qFormat/>
    <w:rPr>
      <w:rFonts w:cs="Courier New"/>
    </w:rPr>
  </w:style>
  <w:style w:type="character" w:styleId="ListLabel48">
    <w:name w:val="ListLabel 48"/>
    <w:qFormat/>
    <w:rPr>
      <w:rFonts w:cs="Courier New"/>
    </w:rPr>
  </w:style>
  <w:style w:type="character" w:styleId="ListLabel49">
    <w:name w:val="ListLabel 49"/>
    <w:qFormat/>
    <w:rPr>
      <w:rFonts w:eastAsia="Calibri" w:cs="Calibri"/>
    </w:rPr>
  </w:style>
  <w:style w:type="character" w:styleId="ListLabel50">
    <w:name w:val="ListLabel 50"/>
    <w:qFormat/>
    <w:rPr>
      <w:rFonts w:cs="Courier New"/>
    </w:rPr>
  </w:style>
  <w:style w:type="character" w:styleId="ListLabel51">
    <w:name w:val="ListLabel 51"/>
    <w:qFormat/>
    <w:rPr>
      <w:rFonts w:cs="Courier New"/>
    </w:rPr>
  </w:style>
  <w:style w:type="character" w:styleId="ListLabel52">
    <w:name w:val="ListLabel 52"/>
    <w:qFormat/>
    <w:rPr>
      <w:rFonts w:cs="Courier New"/>
    </w:rPr>
  </w:style>
  <w:style w:type="character" w:styleId="ListLabel53">
    <w:name w:val="ListLabel 53"/>
    <w:qFormat/>
    <w:rPr>
      <w:rFonts w:cs="Courier New"/>
    </w:rPr>
  </w:style>
  <w:style w:type="character" w:styleId="ListLabel54">
    <w:name w:val="ListLabel 54"/>
    <w:qFormat/>
    <w:rPr>
      <w:rFonts w:cs="Courier New"/>
    </w:rPr>
  </w:style>
  <w:style w:type="character" w:styleId="ListLabel55">
    <w:name w:val="ListLabel 55"/>
    <w:qFormat/>
    <w:rPr>
      <w:rFonts w:cs="Courier New"/>
    </w:rPr>
  </w:style>
  <w:style w:type="character" w:styleId="ListLabel56">
    <w:name w:val="ListLabel 56"/>
    <w:qFormat/>
    <w:rPr>
      <w:rFonts w:cs="Courier New"/>
    </w:rPr>
  </w:style>
  <w:style w:type="character" w:styleId="ListLabel57">
    <w:name w:val="ListLabel 57"/>
    <w:qFormat/>
    <w:rPr>
      <w:rFonts w:cs="Courier New"/>
    </w:rPr>
  </w:style>
  <w:style w:type="character" w:styleId="ListLabel58">
    <w:name w:val="ListLabel 58"/>
    <w:qFormat/>
    <w:rPr>
      <w:rFonts w:cs="Courier New"/>
    </w:rPr>
  </w:style>
  <w:style w:type="character" w:styleId="ListLabel59">
    <w:name w:val="ListLabel 59"/>
    <w:qFormat/>
    <w:rPr>
      <w:rFonts w:cs="Courier New"/>
    </w:rPr>
  </w:style>
  <w:style w:type="character" w:styleId="ListLabel60">
    <w:name w:val="ListLabel 60"/>
    <w:qFormat/>
    <w:rPr>
      <w:rFonts w:cs="Courier New"/>
    </w:rPr>
  </w:style>
  <w:style w:type="character" w:styleId="ListLabel61">
    <w:name w:val="ListLabel 61"/>
    <w:qFormat/>
    <w:rPr>
      <w:rFonts w:cs="Courier New"/>
    </w:rPr>
  </w:style>
  <w:style w:type="character" w:styleId="ListLabel62">
    <w:name w:val="ListLabel 62"/>
    <w:qFormat/>
    <w:rPr>
      <w:rFonts w:cs="Courier New"/>
    </w:rPr>
  </w:style>
  <w:style w:type="character" w:styleId="ListLabel63">
    <w:name w:val="ListLabel 63"/>
    <w:qFormat/>
    <w:rPr>
      <w:rFonts w:cs="Courier New"/>
    </w:rPr>
  </w:style>
  <w:style w:type="character" w:styleId="ListLabel64">
    <w:name w:val="ListLabel 64"/>
    <w:qFormat/>
    <w:rPr>
      <w:rFonts w:cs="Courier New"/>
    </w:rPr>
  </w:style>
  <w:style w:type="character" w:styleId="ListLabel65">
    <w:name w:val="ListLabel 65"/>
    <w:qFormat/>
    <w:rPr>
      <w:rFonts w:cs="Courier New"/>
    </w:rPr>
  </w:style>
  <w:style w:type="character" w:styleId="ListLabel66">
    <w:name w:val="ListLabel 66"/>
    <w:qFormat/>
    <w:rPr>
      <w:rFonts w:cs="Courier New"/>
    </w:rPr>
  </w:style>
  <w:style w:type="character" w:styleId="ListLabel67">
    <w:name w:val="ListLabel 67"/>
    <w:qFormat/>
    <w:rPr>
      <w:rFonts w:cs="Courier New"/>
    </w:rPr>
  </w:style>
  <w:style w:type="character" w:styleId="ListLabel68">
    <w:name w:val="ListLabel 68"/>
    <w:qFormat/>
    <w:rPr>
      <w:rFonts w:cs="Courier New"/>
    </w:rPr>
  </w:style>
  <w:style w:type="character" w:styleId="ListLabel69">
    <w:name w:val="ListLabel 69"/>
    <w:qFormat/>
    <w:rPr>
      <w:rFonts w:cs="Courier New"/>
    </w:rPr>
  </w:style>
  <w:style w:type="character" w:styleId="ListLabel70">
    <w:name w:val="ListLabel 70"/>
    <w:qFormat/>
    <w:rPr>
      <w:rFonts w:cs="Courier New"/>
    </w:rPr>
  </w:style>
  <w:style w:type="character" w:styleId="ListLabel71">
    <w:name w:val="ListLabel 71"/>
    <w:qFormat/>
    <w:rPr>
      <w:rFonts w:cs="Courier New"/>
    </w:rPr>
  </w:style>
  <w:style w:type="character" w:styleId="ListLabel72">
    <w:name w:val="ListLabel 72"/>
    <w:qFormat/>
    <w:rPr>
      <w:rFonts w:cs="Courier New"/>
    </w:rPr>
  </w:style>
  <w:style w:type="character" w:styleId="ListLabel73">
    <w:name w:val="ListLabel 73"/>
    <w:qFormat/>
    <w:rPr>
      <w:rFonts w:cs="Courier New"/>
    </w:rPr>
  </w:style>
  <w:style w:type="character" w:styleId="ListLabel74">
    <w:name w:val="ListLabel 74"/>
    <w:qFormat/>
    <w:rPr>
      <w:rFonts w:eastAsia="Calibri" w:cs=""/>
      <w:sz w:val="24"/>
    </w:rPr>
  </w:style>
  <w:style w:type="character" w:styleId="ListLabel75">
    <w:name w:val="ListLabel 75"/>
    <w:qFormat/>
    <w:rPr>
      <w:rFonts w:cs="Courier New"/>
    </w:rPr>
  </w:style>
  <w:style w:type="character" w:styleId="ListLabel76">
    <w:name w:val="ListLabel 76"/>
    <w:qFormat/>
    <w:rPr>
      <w:rFonts w:cs="Courier New"/>
    </w:rPr>
  </w:style>
  <w:style w:type="character" w:styleId="ListLabel77">
    <w:name w:val="ListLabel 77"/>
    <w:qFormat/>
    <w:rPr>
      <w:rFonts w:cs="Courier New"/>
    </w:rPr>
  </w:style>
  <w:style w:type="character" w:styleId="ListLabel78">
    <w:name w:val="ListLabel 78"/>
    <w:qFormat/>
    <w:rPr>
      <w:rFonts w:cs="Courier New"/>
    </w:rPr>
  </w:style>
  <w:style w:type="character" w:styleId="ListLabel79">
    <w:name w:val="ListLabel 79"/>
    <w:qFormat/>
    <w:rPr>
      <w:rFonts w:cs="Courier New"/>
    </w:rPr>
  </w:style>
  <w:style w:type="character" w:styleId="ListLabel80">
    <w:name w:val="ListLabel 80"/>
    <w:qFormat/>
    <w:rPr>
      <w:rFonts w:cs="Courier New"/>
    </w:rPr>
  </w:style>
  <w:style w:type="character" w:styleId="ListLabel81">
    <w:name w:val="ListLabel 81"/>
    <w:qFormat/>
    <w:rPr>
      <w:rFonts w:cs="Courier New"/>
    </w:rPr>
  </w:style>
  <w:style w:type="character" w:styleId="ListLabel82">
    <w:name w:val="ListLabel 82"/>
    <w:qFormat/>
    <w:rPr>
      <w:rFonts w:cs="Courier New"/>
    </w:rPr>
  </w:style>
  <w:style w:type="character" w:styleId="ListLabel83">
    <w:name w:val="ListLabel 83"/>
    <w:qFormat/>
    <w:rPr>
      <w:rFonts w:cs="Courier New"/>
    </w:rPr>
  </w:style>
  <w:style w:type="character" w:styleId="ListLabel84">
    <w:name w:val="ListLabel 84"/>
    <w:qFormat/>
    <w:rPr>
      <w:rFonts w:cs="Courier New"/>
    </w:rPr>
  </w:style>
  <w:style w:type="character" w:styleId="ListLabel85">
    <w:name w:val="ListLabel 85"/>
    <w:qFormat/>
    <w:rPr>
      <w:rFonts w:cs="Courier New"/>
    </w:rPr>
  </w:style>
  <w:style w:type="character" w:styleId="ListLabel86">
    <w:name w:val="ListLabel 86"/>
    <w:qFormat/>
    <w:rPr>
      <w:rFonts w:cs="Courier New"/>
    </w:rPr>
  </w:style>
  <w:style w:type="character" w:styleId="ListLabel87">
    <w:name w:val="ListLabel 87"/>
    <w:qFormat/>
    <w:rPr>
      <w:rFonts w:cs="Courier New"/>
    </w:rPr>
  </w:style>
  <w:style w:type="character" w:styleId="ListLabel88">
    <w:name w:val="ListLabel 88"/>
    <w:qFormat/>
    <w:rPr>
      <w:rFonts w:cs="Courier New"/>
    </w:rPr>
  </w:style>
  <w:style w:type="character" w:styleId="ListLabel89">
    <w:name w:val="ListLabel 89"/>
    <w:qFormat/>
    <w:rPr>
      <w:rFonts w:cs="Courier New"/>
    </w:rPr>
  </w:style>
  <w:style w:type="character" w:styleId="ListLabel90">
    <w:name w:val="ListLabel 90"/>
    <w:qFormat/>
    <w:rPr>
      <w:rFonts w:cs="Courier New"/>
    </w:rPr>
  </w:style>
  <w:style w:type="character" w:styleId="ListLabel91">
    <w:name w:val="ListLabel 91"/>
    <w:qFormat/>
    <w:rPr>
      <w:rFonts w:cs="Courier New"/>
    </w:rPr>
  </w:style>
  <w:style w:type="character" w:styleId="ListLabel92">
    <w:name w:val="ListLabel 92"/>
    <w:qFormat/>
    <w:rPr>
      <w:rFonts w:cs="Courier New"/>
    </w:rPr>
  </w:style>
  <w:style w:type="character" w:styleId="ListLabel93">
    <w:name w:val="ListLabel 93"/>
    <w:qFormat/>
    <w:rPr>
      <w:rFonts w:cs="Courier New"/>
    </w:rPr>
  </w:style>
  <w:style w:type="character" w:styleId="ListLabel94">
    <w:name w:val="ListLabel 94"/>
    <w:qFormat/>
    <w:rPr>
      <w:rFonts w:cs="Courier New"/>
    </w:rPr>
  </w:style>
  <w:style w:type="character" w:styleId="ListLabel95">
    <w:name w:val="ListLabel 95"/>
    <w:qFormat/>
    <w:rPr>
      <w:rFonts w:cs="Courier New"/>
    </w:rPr>
  </w:style>
  <w:style w:type="character" w:styleId="ListLabel96">
    <w:name w:val="ListLabel 96"/>
    <w:qFormat/>
    <w:rPr>
      <w:rFonts w:cs="Courier New"/>
    </w:rPr>
  </w:style>
  <w:style w:type="character" w:styleId="ListLabel97">
    <w:name w:val="ListLabel 97"/>
    <w:qFormat/>
    <w:rPr>
      <w:rFonts w:cs="Courier New"/>
    </w:rPr>
  </w:style>
  <w:style w:type="character" w:styleId="ListLabel98">
    <w:name w:val="ListLabel 98"/>
    <w:qFormat/>
    <w:rPr>
      <w:rFonts w:cs="Courier New"/>
    </w:rPr>
  </w:style>
  <w:style w:type="character" w:styleId="ListLabel99">
    <w:name w:val="ListLabel 99"/>
    <w:qFormat/>
    <w:rPr>
      <w:rFonts w:cs="Courier New"/>
    </w:rPr>
  </w:style>
  <w:style w:type="character" w:styleId="ListLabel100">
    <w:name w:val="ListLabel 100"/>
    <w:qFormat/>
    <w:rPr>
      <w:rFonts w:cs="Courier New"/>
    </w:rPr>
  </w:style>
  <w:style w:type="character" w:styleId="ListLabel101">
    <w:name w:val="ListLabel 101"/>
    <w:qFormat/>
    <w:rPr>
      <w:rFonts w:cs="Courier New"/>
    </w:rPr>
  </w:style>
  <w:style w:type="character" w:styleId="ListLabel102">
    <w:name w:val="ListLabel 102"/>
    <w:qFormat/>
    <w:rPr>
      <w:rFonts w:cs="Symbol"/>
      <w:sz w:val="24"/>
    </w:rPr>
  </w:style>
  <w:style w:type="character" w:styleId="ListLabel103">
    <w:name w:val="ListLabel 103"/>
    <w:qFormat/>
    <w:rPr>
      <w:rFonts w:cs="Courier New"/>
    </w:rPr>
  </w:style>
  <w:style w:type="character" w:styleId="ListLabel104">
    <w:name w:val="ListLabel 104"/>
    <w:qFormat/>
    <w:rPr>
      <w:rFonts w:cs="Wingdings"/>
    </w:rPr>
  </w:style>
  <w:style w:type="character" w:styleId="ListLabel105">
    <w:name w:val="ListLabel 105"/>
    <w:qFormat/>
    <w:rPr>
      <w:rFonts w:cs="Symbol"/>
    </w:rPr>
  </w:style>
  <w:style w:type="character" w:styleId="ListLabel106">
    <w:name w:val="ListLabel 106"/>
    <w:qFormat/>
    <w:rPr>
      <w:rFonts w:cs="Courier New"/>
    </w:rPr>
  </w:style>
  <w:style w:type="character" w:styleId="ListLabel107">
    <w:name w:val="ListLabel 107"/>
    <w:qFormat/>
    <w:rPr>
      <w:rFonts w:cs="Wingdings"/>
    </w:rPr>
  </w:style>
  <w:style w:type="character" w:styleId="ListLabel108">
    <w:name w:val="ListLabel 108"/>
    <w:qFormat/>
    <w:rPr>
      <w:rFonts w:cs="Symbol"/>
    </w:rPr>
  </w:style>
  <w:style w:type="character" w:styleId="ListLabel109">
    <w:name w:val="ListLabel 109"/>
    <w:qFormat/>
    <w:rPr>
      <w:rFonts w:cs="Courier New"/>
    </w:rPr>
  </w:style>
  <w:style w:type="character" w:styleId="ListLabel110">
    <w:name w:val="ListLabel 110"/>
    <w:qFormat/>
    <w:rPr>
      <w:rFonts w:cs="Wingdings"/>
    </w:rPr>
  </w:style>
  <w:style w:type="character" w:styleId="ListLabel111">
    <w:name w:val="ListLabel 111"/>
    <w:qFormat/>
    <w:rPr>
      <w:rFonts w:eastAsia="Calibri" w:cs=""/>
      <w:sz w:val="24"/>
    </w:rPr>
  </w:style>
  <w:style w:type="character" w:styleId="ListLabel112">
    <w:name w:val="ListLabel 112"/>
    <w:qFormat/>
    <w:rPr>
      <w:rFonts w:cs="Symbol"/>
      <w:sz w:val="24"/>
    </w:rPr>
  </w:style>
  <w:style w:type="character" w:styleId="ListLabel113">
    <w:name w:val="ListLabel 113"/>
    <w:qFormat/>
    <w:rPr>
      <w:rFonts w:cs="Courier New"/>
    </w:rPr>
  </w:style>
  <w:style w:type="character" w:styleId="ListLabel114">
    <w:name w:val="ListLabel 114"/>
    <w:qFormat/>
    <w:rPr>
      <w:rFonts w:cs="Wingdings"/>
    </w:rPr>
  </w:style>
  <w:style w:type="character" w:styleId="ListLabel115">
    <w:name w:val="ListLabel 115"/>
    <w:qFormat/>
    <w:rPr>
      <w:rFonts w:cs="Symbol"/>
    </w:rPr>
  </w:style>
  <w:style w:type="character" w:styleId="ListLabel116">
    <w:name w:val="ListLabel 116"/>
    <w:qFormat/>
    <w:rPr>
      <w:rFonts w:cs="Courier New"/>
    </w:rPr>
  </w:style>
  <w:style w:type="character" w:styleId="ListLabel117">
    <w:name w:val="ListLabel 117"/>
    <w:qFormat/>
    <w:rPr>
      <w:rFonts w:cs="Wingdings"/>
    </w:rPr>
  </w:style>
  <w:style w:type="character" w:styleId="ListLabel118">
    <w:name w:val="ListLabel 118"/>
    <w:qFormat/>
    <w:rPr>
      <w:rFonts w:cs="Symbol"/>
    </w:rPr>
  </w:style>
  <w:style w:type="character" w:styleId="ListLabel119">
    <w:name w:val="ListLabel 119"/>
    <w:qFormat/>
    <w:rPr>
      <w:rFonts w:cs="Courier New"/>
    </w:rPr>
  </w:style>
  <w:style w:type="character" w:styleId="ListLabel120">
    <w:name w:val="ListLabel 120"/>
    <w:qFormat/>
    <w:rPr>
      <w:rFonts w:cs="Wingdings"/>
    </w:rPr>
  </w:style>
  <w:style w:type="character" w:styleId="ListLabel121">
    <w:name w:val="ListLabel 121"/>
    <w:qFormat/>
    <w:rPr>
      <w:rFonts w:cs="Symbol"/>
      <w:sz w:val="24"/>
    </w:rPr>
  </w:style>
  <w:style w:type="character" w:styleId="ListLabel122">
    <w:name w:val="ListLabel 122"/>
    <w:qFormat/>
    <w:rPr>
      <w:rFonts w:cs="Courier New"/>
    </w:rPr>
  </w:style>
  <w:style w:type="character" w:styleId="ListLabel123">
    <w:name w:val="ListLabel 123"/>
    <w:qFormat/>
    <w:rPr>
      <w:rFonts w:cs="Wingdings"/>
    </w:rPr>
  </w:style>
  <w:style w:type="character" w:styleId="ListLabel124">
    <w:name w:val="ListLabel 124"/>
    <w:qFormat/>
    <w:rPr>
      <w:rFonts w:cs="Symbol"/>
    </w:rPr>
  </w:style>
  <w:style w:type="character" w:styleId="ListLabel125">
    <w:name w:val="ListLabel 125"/>
    <w:qFormat/>
    <w:rPr>
      <w:rFonts w:cs="Courier New"/>
    </w:rPr>
  </w:style>
  <w:style w:type="character" w:styleId="ListLabel126">
    <w:name w:val="ListLabel 126"/>
    <w:qFormat/>
    <w:rPr>
      <w:rFonts w:cs="Wingdings"/>
    </w:rPr>
  </w:style>
  <w:style w:type="character" w:styleId="ListLabel127">
    <w:name w:val="ListLabel 127"/>
    <w:qFormat/>
    <w:rPr>
      <w:rFonts w:cs="Symbol"/>
    </w:rPr>
  </w:style>
  <w:style w:type="character" w:styleId="ListLabel128">
    <w:name w:val="ListLabel 128"/>
    <w:qFormat/>
    <w:rPr>
      <w:rFonts w:cs="Courier New"/>
    </w:rPr>
  </w:style>
  <w:style w:type="character" w:styleId="ListLabel129">
    <w:name w:val="ListLabel 129"/>
    <w:qFormat/>
    <w:rPr>
      <w:rFonts w:cs="Wingdings"/>
    </w:rPr>
  </w:style>
  <w:style w:type="character" w:styleId="ListLabel130">
    <w:name w:val="ListLabel 130"/>
    <w:qFormat/>
    <w:rPr>
      <w:rFonts w:cs="Symbol"/>
      <w:sz w:val="24"/>
    </w:rPr>
  </w:style>
  <w:style w:type="character" w:styleId="ListLabel131">
    <w:name w:val="ListLabel 131"/>
    <w:qFormat/>
    <w:rPr>
      <w:rFonts w:cs="Courier New"/>
    </w:rPr>
  </w:style>
  <w:style w:type="character" w:styleId="ListLabel132">
    <w:name w:val="ListLabel 132"/>
    <w:qFormat/>
    <w:rPr>
      <w:rFonts w:cs="Wingdings"/>
    </w:rPr>
  </w:style>
  <w:style w:type="character" w:styleId="ListLabel133">
    <w:name w:val="ListLabel 133"/>
    <w:qFormat/>
    <w:rPr>
      <w:rFonts w:cs="Symbol"/>
    </w:rPr>
  </w:style>
  <w:style w:type="character" w:styleId="ListLabel134">
    <w:name w:val="ListLabel 134"/>
    <w:qFormat/>
    <w:rPr>
      <w:rFonts w:cs="Courier New"/>
    </w:rPr>
  </w:style>
  <w:style w:type="character" w:styleId="ListLabel135">
    <w:name w:val="ListLabel 135"/>
    <w:qFormat/>
    <w:rPr>
      <w:rFonts w:cs="Wingdings"/>
    </w:rPr>
  </w:style>
  <w:style w:type="character" w:styleId="ListLabel136">
    <w:name w:val="ListLabel 136"/>
    <w:qFormat/>
    <w:rPr>
      <w:rFonts w:cs="Symbol"/>
    </w:rPr>
  </w:style>
  <w:style w:type="character" w:styleId="ListLabel137">
    <w:name w:val="ListLabel 137"/>
    <w:qFormat/>
    <w:rPr>
      <w:rFonts w:cs="Courier New"/>
    </w:rPr>
  </w:style>
  <w:style w:type="character" w:styleId="ListLabel138">
    <w:name w:val="ListLabel 138"/>
    <w:qFormat/>
    <w:rPr>
      <w:rFonts w:cs="Wingdings"/>
    </w:rPr>
  </w:style>
  <w:style w:type="character" w:styleId="ListLabel139">
    <w:name w:val="ListLabel 139"/>
    <w:qFormat/>
    <w:rPr>
      <w:rFonts w:cs="Symbol"/>
      <w:sz w:val="24"/>
    </w:rPr>
  </w:style>
  <w:style w:type="character" w:styleId="ListLabel140">
    <w:name w:val="ListLabel 140"/>
    <w:qFormat/>
    <w:rPr>
      <w:rFonts w:cs="Courier New"/>
    </w:rPr>
  </w:style>
  <w:style w:type="character" w:styleId="ListLabel141">
    <w:name w:val="ListLabel 141"/>
    <w:qFormat/>
    <w:rPr>
      <w:rFonts w:cs="Wingdings"/>
    </w:rPr>
  </w:style>
  <w:style w:type="character" w:styleId="ListLabel142">
    <w:name w:val="ListLabel 142"/>
    <w:qFormat/>
    <w:rPr>
      <w:rFonts w:cs="Symbol"/>
    </w:rPr>
  </w:style>
  <w:style w:type="character" w:styleId="ListLabel143">
    <w:name w:val="ListLabel 143"/>
    <w:qFormat/>
    <w:rPr>
      <w:rFonts w:cs="Courier New"/>
    </w:rPr>
  </w:style>
  <w:style w:type="character" w:styleId="ListLabel144">
    <w:name w:val="ListLabel 144"/>
    <w:qFormat/>
    <w:rPr>
      <w:rFonts w:cs="Wingdings"/>
    </w:rPr>
  </w:style>
  <w:style w:type="character" w:styleId="ListLabel145">
    <w:name w:val="ListLabel 145"/>
    <w:qFormat/>
    <w:rPr>
      <w:rFonts w:cs="Symbol"/>
    </w:rPr>
  </w:style>
  <w:style w:type="character" w:styleId="ListLabel146">
    <w:name w:val="ListLabel 146"/>
    <w:qFormat/>
    <w:rPr>
      <w:rFonts w:cs="Courier New"/>
    </w:rPr>
  </w:style>
  <w:style w:type="character" w:styleId="ListLabel147">
    <w:name w:val="ListLabel 147"/>
    <w:qFormat/>
    <w:rPr>
      <w:rFonts w:cs="Wingdings"/>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34"/>
    <w:qFormat/>
    <w:rsid w:val="002b7ec5"/>
    <w:pPr>
      <w:spacing w:before="0" w:after="160"/>
      <w:ind w:left="720" w:hanging="0"/>
      <w:contextualSpacing/>
    </w:pPr>
    <w:rPr/>
  </w:style>
  <w:style w:type="paragraph" w:styleId="Header">
    <w:name w:val="Header"/>
    <w:basedOn w:val="Normal"/>
    <w:link w:val="HeaderChar"/>
    <w:uiPriority w:val="99"/>
    <w:unhideWhenUsed/>
    <w:rsid w:val="00014a92"/>
    <w:pPr>
      <w:tabs>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014a92"/>
    <w:pPr>
      <w:tabs>
        <w:tab w:val="center" w:pos="4513" w:leader="none"/>
        <w:tab w:val="right" w:pos="9026" w:leader="none"/>
      </w:tabs>
      <w:spacing w:lineRule="auto" w:line="240" w:before="0" w:after="0"/>
    </w:pPr>
    <w:rPr/>
  </w:style>
  <w:style w:type="paragraph" w:styleId="Xmsonormal" w:customStyle="1">
    <w:name w:val="x_msonormal"/>
    <w:basedOn w:val="Normal"/>
    <w:qFormat/>
    <w:rsid w:val="004f4d40"/>
    <w:pPr>
      <w:spacing w:lineRule="auto" w:line="240" w:before="0" w:after="0"/>
    </w:pPr>
    <w:rPr>
      <w:rFonts w:ascii="Calibri" w:hAnsi="Calibri" w:eastAsia="" w:cs="Calibri" w:eastAsiaTheme="minorEastAsia"/>
      <w:lang w:eastAsia="en-GB"/>
    </w:rPr>
  </w:style>
  <w:style w:type="paragraph" w:styleId="BalloonText">
    <w:name w:val="Balloon Text"/>
    <w:basedOn w:val="Normal"/>
    <w:link w:val="BalloonTextChar"/>
    <w:uiPriority w:val="99"/>
    <w:semiHidden/>
    <w:unhideWhenUsed/>
    <w:qFormat/>
    <w:rsid w:val="00887afe"/>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39"/>
    <w:rsid w:val="00636b7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Application>LibreOffice/5.3.7.2$Windows_X86_64 LibreOffice_project/6b8ed514a9f8b44d37a1b96673cbbdd077e24059</Application>
  <Pages>6</Pages>
  <Words>1387</Words>
  <Characters>7185</Characters>
  <CharactersWithSpaces>8434</CharactersWithSpaces>
  <Paragraphs>295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2018-11-28T19:01:00Z</dcterms:created>
  <dc:creator>Gareth Roderick-Jones</dc:creator>
  <dc:description/>
  <dc:language>en-GB</dc:language>
  <cp:lastModifiedBy/>
  <cp:lastPrinted>2019-01-06T12:01:48Z</cp:lastPrinted>
  <dcterms:modified xsi:type="dcterms:W3CDTF">2019-01-06T12:07:05Z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