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19ECB1" w14:textId="77777777" w:rsidR="00F30A5A" w:rsidRDefault="00CB1E78">
      <w:pPr>
        <w:jc w:val="center"/>
        <w:rPr>
          <w:rFonts w:hint="eastAsia"/>
        </w:rPr>
      </w:pPr>
      <w:bookmarkStart w:id="0" w:name="_GoBack"/>
      <w:bookmarkEnd w:id="0"/>
      <w:r>
        <w:rPr>
          <w:rFonts w:ascii="Arial" w:hAnsi="Arial"/>
          <w:b/>
          <w:bCs/>
          <w:sz w:val="22"/>
          <w:szCs w:val="22"/>
        </w:rPr>
        <w:t>Roydon Parish Council</w:t>
      </w:r>
    </w:p>
    <w:p w14:paraId="7B99EE81" w14:textId="77777777" w:rsidR="00F30A5A" w:rsidRDefault="00CB1E78">
      <w:pPr>
        <w:jc w:val="center"/>
        <w:rPr>
          <w:rFonts w:hint="eastAsia"/>
        </w:rPr>
      </w:pPr>
      <w:r>
        <w:rPr>
          <w:rFonts w:ascii="Arial" w:hAnsi="Arial"/>
          <w:b/>
          <w:bCs/>
          <w:sz w:val="22"/>
          <w:szCs w:val="22"/>
        </w:rPr>
        <w:t>Report by District Councillor David Goldson</w:t>
      </w:r>
    </w:p>
    <w:p w14:paraId="5B5FD182" w14:textId="77777777" w:rsidR="00F30A5A" w:rsidRDefault="00CB1E78">
      <w:pPr>
        <w:jc w:val="center"/>
        <w:rPr>
          <w:rFonts w:hint="eastAsia"/>
        </w:rPr>
      </w:pPr>
      <w:r>
        <w:rPr>
          <w:rFonts w:ascii="Arial" w:hAnsi="Arial"/>
          <w:b/>
          <w:bCs/>
          <w:sz w:val="22"/>
          <w:szCs w:val="22"/>
        </w:rPr>
        <w:t>April 2018</w:t>
      </w:r>
    </w:p>
    <w:p w14:paraId="05F551CE" w14:textId="77777777" w:rsidR="00F30A5A" w:rsidRDefault="00F30A5A">
      <w:pPr>
        <w:jc w:val="center"/>
        <w:rPr>
          <w:rFonts w:ascii="Arial" w:hAnsi="Arial"/>
          <w:b/>
          <w:bCs/>
          <w:sz w:val="22"/>
          <w:szCs w:val="22"/>
        </w:rPr>
      </w:pPr>
    </w:p>
    <w:p w14:paraId="2F4FFCB1" w14:textId="77777777" w:rsidR="00F30A5A" w:rsidRDefault="00CB1E78">
      <w:pPr>
        <w:rPr>
          <w:rFonts w:hint="eastAsia"/>
        </w:rPr>
      </w:pPr>
      <w:r>
        <w:rPr>
          <w:rFonts w:ascii="Arial" w:hAnsi="Arial"/>
          <w:sz w:val="22"/>
          <w:szCs w:val="22"/>
        </w:rPr>
        <w:t xml:space="preserve">1. The District Council is having to re-think its waste collection strategy. The increase in the number of houses across the District is putting pressure on the collection </w:t>
      </w:r>
      <w:r>
        <w:rPr>
          <w:rFonts w:ascii="Arial" w:hAnsi="Arial"/>
          <w:sz w:val="22"/>
          <w:szCs w:val="22"/>
        </w:rPr>
        <w:t xml:space="preserve">service. Purchase of each bin lorry costs the equivalent of 2% on Council Tax, so imposing stricter rules on what can be collected may need to be imposed. On some busy rounds e.g. </w:t>
      </w:r>
      <w:proofErr w:type="spellStart"/>
      <w:r>
        <w:rPr>
          <w:rFonts w:ascii="Arial" w:hAnsi="Arial"/>
          <w:sz w:val="22"/>
          <w:szCs w:val="22"/>
        </w:rPr>
        <w:t>Diss</w:t>
      </w:r>
      <w:proofErr w:type="spellEnd"/>
      <w:r>
        <w:rPr>
          <w:rFonts w:ascii="Arial" w:hAnsi="Arial"/>
          <w:sz w:val="22"/>
          <w:szCs w:val="22"/>
        </w:rPr>
        <w:t>, the amount of waste collected is close to overloading the bin lorries.</w:t>
      </w:r>
      <w:r>
        <w:rPr>
          <w:rFonts w:ascii="Arial" w:hAnsi="Arial"/>
          <w:sz w:val="22"/>
          <w:szCs w:val="22"/>
        </w:rPr>
        <w:t xml:space="preserve"> Side waste – items put out for collection but not in bins – which has been collected up to now may have to be refused in future.</w:t>
      </w:r>
    </w:p>
    <w:p w14:paraId="2A9DD643" w14:textId="77777777" w:rsidR="00F30A5A" w:rsidRDefault="00F30A5A">
      <w:pPr>
        <w:rPr>
          <w:rFonts w:ascii="Arial" w:hAnsi="Arial"/>
          <w:sz w:val="22"/>
          <w:szCs w:val="22"/>
        </w:rPr>
      </w:pPr>
    </w:p>
    <w:p w14:paraId="04319884" w14:textId="77777777" w:rsidR="00F30A5A" w:rsidRDefault="00CB1E78">
      <w:pPr>
        <w:rPr>
          <w:rFonts w:hint="eastAsia"/>
        </w:rPr>
      </w:pPr>
      <w:r>
        <w:rPr>
          <w:rFonts w:ascii="Arial" w:hAnsi="Arial"/>
          <w:sz w:val="22"/>
          <w:szCs w:val="22"/>
        </w:rPr>
        <w:t xml:space="preserve">2. </w:t>
      </w:r>
      <w:r>
        <w:rPr>
          <w:rFonts w:ascii="Arial" w:hAnsi="Arial"/>
          <w:sz w:val="22"/>
          <w:szCs w:val="22"/>
          <w:u w:val="single"/>
        </w:rPr>
        <w:t xml:space="preserve">Economic </w:t>
      </w:r>
      <w:proofErr w:type="gramStart"/>
      <w:r>
        <w:rPr>
          <w:rFonts w:ascii="Arial" w:hAnsi="Arial"/>
          <w:sz w:val="22"/>
          <w:szCs w:val="22"/>
          <w:u w:val="single"/>
        </w:rPr>
        <w:t>Growth</w:t>
      </w:r>
      <w:r>
        <w:rPr>
          <w:rFonts w:ascii="Arial" w:hAnsi="Arial"/>
          <w:sz w:val="22"/>
          <w:szCs w:val="22"/>
        </w:rPr>
        <w:t xml:space="preserve">  The</w:t>
      </w:r>
      <w:proofErr w:type="gramEnd"/>
      <w:r>
        <w:rPr>
          <w:rFonts w:ascii="Arial" w:hAnsi="Arial"/>
          <w:sz w:val="22"/>
          <w:szCs w:val="22"/>
        </w:rPr>
        <w:t xml:space="preserve"> South Norfolk Economic Growth Prospectus is under development. In conjunction with the “New Anglia Lo</w:t>
      </w:r>
      <w:r>
        <w:rPr>
          <w:rFonts w:ascii="Arial" w:hAnsi="Arial"/>
          <w:sz w:val="22"/>
          <w:szCs w:val="22"/>
        </w:rPr>
        <w:t xml:space="preserve">cal Partnership’s Norfolk and Suffolk Economic Strategy the prospectus sets out the opportunities for delivering growth and the key investment assets of the area. South Norfolk is part of Greater Norwich in economic terms but the prospectus will highlight </w:t>
      </w:r>
      <w:r>
        <w:rPr>
          <w:rFonts w:ascii="Arial" w:hAnsi="Arial"/>
          <w:sz w:val="22"/>
          <w:szCs w:val="22"/>
        </w:rPr>
        <w:t>the advantages of the District to potential investors.</w:t>
      </w:r>
    </w:p>
    <w:p w14:paraId="7DB4C110" w14:textId="77777777" w:rsidR="00F30A5A" w:rsidRDefault="00F30A5A">
      <w:pPr>
        <w:rPr>
          <w:rFonts w:ascii="Arial" w:hAnsi="Arial"/>
          <w:sz w:val="22"/>
          <w:szCs w:val="22"/>
        </w:rPr>
      </w:pPr>
    </w:p>
    <w:p w14:paraId="1A5F7D19" w14:textId="77777777" w:rsidR="00F30A5A" w:rsidRDefault="00CB1E78">
      <w:pPr>
        <w:rPr>
          <w:rFonts w:hint="eastAsia"/>
        </w:rPr>
      </w:pPr>
      <w:r>
        <w:rPr>
          <w:rFonts w:ascii="Arial" w:hAnsi="Arial"/>
          <w:sz w:val="22"/>
          <w:szCs w:val="22"/>
        </w:rPr>
        <w:t xml:space="preserve">3. </w:t>
      </w:r>
      <w:r>
        <w:rPr>
          <w:rFonts w:ascii="Arial" w:hAnsi="Arial"/>
          <w:sz w:val="22"/>
          <w:szCs w:val="22"/>
          <w:u w:val="single"/>
        </w:rPr>
        <w:t>Planning Policy.</w:t>
      </w:r>
      <w:r>
        <w:rPr>
          <w:rFonts w:ascii="Arial" w:hAnsi="Arial"/>
          <w:sz w:val="22"/>
          <w:szCs w:val="22"/>
        </w:rPr>
        <w:t xml:space="preserve"> A new draft National Planning Policy Framework has been published for consultation by local Planning Authorities (SNDC in our case). This shows significant differences from the cur</w:t>
      </w:r>
      <w:r>
        <w:rPr>
          <w:rFonts w:ascii="Arial" w:hAnsi="Arial"/>
          <w:sz w:val="22"/>
          <w:szCs w:val="22"/>
        </w:rPr>
        <w:t xml:space="preserve">rent framework and re-states the requirements for provision of affordable housing, the constraints of the </w:t>
      </w:r>
      <w:proofErr w:type="gramStart"/>
      <w:r>
        <w:rPr>
          <w:rFonts w:ascii="Arial" w:hAnsi="Arial"/>
          <w:sz w:val="22"/>
          <w:szCs w:val="22"/>
        </w:rPr>
        <w:t>five year</w:t>
      </w:r>
      <w:proofErr w:type="gramEnd"/>
      <w:r>
        <w:rPr>
          <w:rFonts w:ascii="Arial" w:hAnsi="Arial"/>
          <w:sz w:val="22"/>
          <w:szCs w:val="22"/>
        </w:rPr>
        <w:t xml:space="preserve"> land supply and the Green Belt protection. It places greater importance on Local Plans which could override Neighbourhood Plans in some case</w:t>
      </w:r>
      <w:r>
        <w:rPr>
          <w:rFonts w:ascii="Arial" w:hAnsi="Arial"/>
          <w:sz w:val="22"/>
          <w:szCs w:val="22"/>
        </w:rPr>
        <w:t>s.</w:t>
      </w:r>
    </w:p>
    <w:p w14:paraId="5C4EEC57" w14:textId="77777777" w:rsidR="00F30A5A" w:rsidRDefault="00F30A5A">
      <w:pPr>
        <w:rPr>
          <w:rFonts w:ascii="Arial" w:hAnsi="Arial"/>
          <w:sz w:val="22"/>
          <w:szCs w:val="22"/>
        </w:rPr>
      </w:pPr>
    </w:p>
    <w:p w14:paraId="5ACDB1A7" w14:textId="77777777" w:rsidR="00F30A5A" w:rsidRDefault="00CB1E78">
      <w:pPr>
        <w:rPr>
          <w:rFonts w:hint="eastAsia"/>
        </w:rPr>
      </w:pPr>
      <w:r>
        <w:rPr>
          <w:rFonts w:ascii="Arial" w:hAnsi="Arial"/>
          <w:sz w:val="22"/>
          <w:szCs w:val="22"/>
        </w:rPr>
        <w:t xml:space="preserve">4. </w:t>
      </w:r>
      <w:r>
        <w:rPr>
          <w:rFonts w:ascii="Arial" w:hAnsi="Arial"/>
          <w:sz w:val="22"/>
          <w:szCs w:val="22"/>
          <w:u w:val="single"/>
        </w:rPr>
        <w:t>Maintenance of Open Spaces.</w:t>
      </w:r>
      <w:r>
        <w:rPr>
          <w:rFonts w:ascii="Arial" w:hAnsi="Arial"/>
          <w:sz w:val="22"/>
          <w:szCs w:val="22"/>
        </w:rPr>
        <w:t xml:space="preserve"> As I have reported before, open spaces such as children’s play areas have often fallen into disrepair once the developer has moved on, leaving parishes or the District Council to fund </w:t>
      </w:r>
      <w:proofErr w:type="spellStart"/>
      <w:r>
        <w:rPr>
          <w:rFonts w:ascii="Arial" w:hAnsi="Arial"/>
          <w:sz w:val="22"/>
          <w:szCs w:val="22"/>
        </w:rPr>
        <w:t>on going</w:t>
      </w:r>
      <w:proofErr w:type="spellEnd"/>
      <w:r>
        <w:rPr>
          <w:rFonts w:ascii="Arial" w:hAnsi="Arial"/>
          <w:sz w:val="22"/>
          <w:szCs w:val="22"/>
        </w:rPr>
        <w:t xml:space="preserve"> maintenance. A Policy Docume</w:t>
      </w:r>
      <w:r>
        <w:rPr>
          <w:rFonts w:ascii="Arial" w:hAnsi="Arial"/>
          <w:sz w:val="22"/>
          <w:szCs w:val="22"/>
        </w:rPr>
        <w:t xml:space="preserve">nt is being produced which require a developer to pay a lump sum to cover the future costs of maintenance. These are not insignificant. The requirement in a major housing development is for 49,000 </w:t>
      </w:r>
      <w:proofErr w:type="spellStart"/>
      <w:r>
        <w:rPr>
          <w:rFonts w:ascii="Arial" w:hAnsi="Arial"/>
          <w:sz w:val="22"/>
          <w:szCs w:val="22"/>
        </w:rPr>
        <w:t>sq</w:t>
      </w:r>
      <w:proofErr w:type="spellEnd"/>
      <w:r>
        <w:rPr>
          <w:rFonts w:ascii="Arial" w:hAnsi="Arial"/>
          <w:sz w:val="22"/>
          <w:szCs w:val="22"/>
        </w:rPr>
        <w:t xml:space="preserve"> metres of open space (inclusive of 6,000 </w:t>
      </w:r>
      <w:proofErr w:type="spellStart"/>
      <w:r>
        <w:rPr>
          <w:rFonts w:ascii="Arial" w:hAnsi="Arial"/>
          <w:sz w:val="22"/>
          <w:szCs w:val="22"/>
        </w:rPr>
        <w:t>sq</w:t>
      </w:r>
      <w:proofErr w:type="spellEnd"/>
      <w:r>
        <w:rPr>
          <w:rFonts w:ascii="Arial" w:hAnsi="Arial"/>
          <w:sz w:val="22"/>
          <w:szCs w:val="22"/>
        </w:rPr>
        <w:t xml:space="preserve"> m of play sp</w:t>
      </w:r>
      <w:r>
        <w:rPr>
          <w:rFonts w:ascii="Arial" w:hAnsi="Arial"/>
          <w:sz w:val="22"/>
          <w:szCs w:val="22"/>
        </w:rPr>
        <w:t xml:space="preserve">ace) per 1000 population. The cost to the developer under the proposal is £326,680 for the play area alone. You can well understand that this will not be popular with developers on top of CIL/S106 payments. The </w:t>
      </w:r>
      <w:proofErr w:type="spellStart"/>
      <w:r>
        <w:rPr>
          <w:rFonts w:ascii="Arial" w:hAnsi="Arial"/>
          <w:sz w:val="22"/>
          <w:szCs w:val="22"/>
        </w:rPr>
        <w:t>altewrnative</w:t>
      </w:r>
      <w:proofErr w:type="spellEnd"/>
      <w:r>
        <w:rPr>
          <w:rFonts w:ascii="Arial" w:hAnsi="Arial"/>
          <w:sz w:val="22"/>
          <w:szCs w:val="22"/>
        </w:rPr>
        <w:t xml:space="preserve"> is that the costs must fall on C</w:t>
      </w:r>
      <w:r>
        <w:rPr>
          <w:rFonts w:ascii="Arial" w:hAnsi="Arial"/>
          <w:sz w:val="22"/>
          <w:szCs w:val="22"/>
        </w:rPr>
        <w:t>ouncil Tax payers – equally unpopular.</w:t>
      </w:r>
    </w:p>
    <w:p w14:paraId="20252AA9" w14:textId="77777777" w:rsidR="00F30A5A" w:rsidRDefault="00F30A5A">
      <w:pPr>
        <w:rPr>
          <w:rFonts w:ascii="Arial" w:hAnsi="Arial"/>
          <w:sz w:val="22"/>
          <w:szCs w:val="22"/>
        </w:rPr>
      </w:pPr>
    </w:p>
    <w:p w14:paraId="4CE26AD0" w14:textId="77777777" w:rsidR="00F30A5A" w:rsidRDefault="00CB1E78">
      <w:pPr>
        <w:rPr>
          <w:rFonts w:hint="eastAsia"/>
        </w:rPr>
      </w:pPr>
      <w:r>
        <w:rPr>
          <w:rFonts w:ascii="Arial" w:hAnsi="Arial"/>
          <w:sz w:val="22"/>
          <w:szCs w:val="22"/>
        </w:rPr>
        <w:t xml:space="preserve">5. </w:t>
      </w:r>
      <w:r>
        <w:rPr>
          <w:rFonts w:ascii="Arial" w:hAnsi="Arial"/>
          <w:sz w:val="22"/>
          <w:szCs w:val="22"/>
          <w:u w:val="single"/>
        </w:rPr>
        <w:t>Waveney Local Plan.</w:t>
      </w:r>
      <w:r>
        <w:rPr>
          <w:rFonts w:ascii="Arial" w:hAnsi="Arial"/>
          <w:sz w:val="22"/>
          <w:szCs w:val="22"/>
        </w:rPr>
        <w:t xml:space="preserve"> As an authority adjacent to Waveney District Council, South Norfolk must be consulted about the housing plans etc in its local plan. This is under discussion.</w:t>
      </w:r>
    </w:p>
    <w:sectPr w:rsidR="00F30A5A">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A5A"/>
    <w:rsid w:val="00CB1E78"/>
    <w:rsid w:val="00F30A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DCBCE"/>
  <w15:docId w15:val="{A20C5689-A5BB-45DF-B229-58715A987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Lucida Sans"/>
        <w:sz w:val="24"/>
        <w:szCs w:val="24"/>
        <w:lang w:val="en-GB"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2144</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Burton</dc:creator>
  <dc:description/>
  <cp:lastModifiedBy>Jeremy Burton</cp:lastModifiedBy>
  <cp:revision>2</cp:revision>
  <dcterms:created xsi:type="dcterms:W3CDTF">2018-04-25T09:00:00Z</dcterms:created>
  <dcterms:modified xsi:type="dcterms:W3CDTF">2018-04-25T09:00:00Z</dcterms:modified>
  <dc:language>en-GB</dc:language>
</cp:coreProperties>
</file>